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F72E" w14:textId="349816FD" w:rsidR="664382B4" w:rsidRPr="00CB313B" w:rsidRDefault="4A1D2570" w:rsidP="20D9E43C">
      <w:pPr>
        <w:spacing w:line="257" w:lineRule="auto"/>
        <w:rPr>
          <w:sz w:val="28"/>
          <w:szCs w:val="28"/>
        </w:rPr>
      </w:pPr>
      <w:r w:rsidRPr="00CB313B">
        <w:rPr>
          <w:rFonts w:ascii="Aptos" w:eastAsia="Aptos" w:hAnsi="Aptos" w:cs="Aptos"/>
          <w:b/>
          <w:bCs/>
          <w:sz w:val="28"/>
          <w:szCs w:val="28"/>
        </w:rPr>
        <w:t>BASW England – Response to NHS 10-Year Workforce Plan</w:t>
      </w:r>
      <w:r w:rsidR="00CB313B" w:rsidRPr="00CB313B">
        <w:rPr>
          <w:rFonts w:ascii="Aptos" w:eastAsia="Aptos" w:hAnsi="Aptos" w:cs="Aptos"/>
          <w:b/>
          <w:bCs/>
          <w:sz w:val="28"/>
          <w:szCs w:val="28"/>
        </w:rPr>
        <w:t xml:space="preserve"> Nov 2025</w:t>
      </w:r>
    </w:p>
    <w:p w14:paraId="4C4FCF2B" w14:textId="50199494" w:rsidR="11E7FDE0" w:rsidRDefault="5BF9B9D0" w:rsidP="55C4AFE2">
      <w:pPr>
        <w:rPr>
          <w:rFonts w:ascii="Aptos" w:eastAsia="Aptos" w:hAnsi="Aptos" w:cs="Aptos"/>
          <w:color w:val="000000" w:themeColor="text1"/>
          <w:sz w:val="22"/>
          <w:szCs w:val="22"/>
        </w:rPr>
      </w:pPr>
      <w:r w:rsidRPr="45451EA8">
        <w:rPr>
          <w:rFonts w:ascii="Aptos" w:eastAsia="Aptos" w:hAnsi="Aptos" w:cs="Aptos"/>
          <w:color w:val="000000" w:themeColor="text1"/>
          <w:sz w:val="22"/>
          <w:szCs w:val="22"/>
        </w:rPr>
        <w:t>The British Association of Social Workers (BASW) is the professional association for social work in the UK with offices in England, Northern Ireland, Scotland, and Wales. With over 20,000 members, we promote the highest standards of relationship based social work practice, ethics and values for all people who may need our support. We also advocate for and promote the wellbeing of social workers working independently and, in all health, social care and voluntary sector settings.</w:t>
      </w:r>
    </w:p>
    <w:p w14:paraId="56B70CB0" w14:textId="6545CAA9" w:rsidR="00986CAB" w:rsidRDefault="59A6544F" w:rsidP="55C4AFE2">
      <w:pPr>
        <w:rPr>
          <w:rFonts w:ascii="Aptos" w:eastAsia="Aptos" w:hAnsi="Aptos" w:cs="Aptos"/>
          <w:color w:val="000000" w:themeColor="text1"/>
          <w:sz w:val="22"/>
          <w:szCs w:val="22"/>
        </w:rPr>
      </w:pPr>
      <w:r w:rsidRPr="45451EA8">
        <w:rPr>
          <w:rFonts w:ascii="Aptos" w:eastAsia="Aptos" w:hAnsi="Aptos" w:cs="Aptos"/>
          <w:color w:val="000000" w:themeColor="text1"/>
          <w:sz w:val="22"/>
          <w:szCs w:val="22"/>
        </w:rPr>
        <w:t>BASW England also plays a leading role in influencing policy and legislative change through its campaigning and advocacy work, ensuring that the experiences and expertise of social workers inform national workforce planning and reform.</w:t>
      </w:r>
    </w:p>
    <w:p w14:paraId="39761B77" w14:textId="06ACD98D" w:rsidR="00986CAB" w:rsidRDefault="59A6544F" w:rsidP="45451EA8">
      <w:pPr>
        <w:rPr>
          <w:rFonts w:ascii="Aptos" w:eastAsia="Aptos" w:hAnsi="Aptos" w:cs="Aptos"/>
          <w:color w:val="000000" w:themeColor="text1"/>
          <w:sz w:val="22"/>
          <w:szCs w:val="22"/>
        </w:rPr>
      </w:pPr>
      <w:r w:rsidRPr="45451EA8">
        <w:rPr>
          <w:rFonts w:ascii="Aptos" w:eastAsia="Aptos" w:hAnsi="Aptos" w:cs="Aptos"/>
          <w:color w:val="000000" w:themeColor="text1"/>
          <w:sz w:val="22"/>
          <w:szCs w:val="22"/>
        </w:rPr>
        <w:t>Social workers deliver essential statutory services across adults, children and families, and mental health, as well as in disability, public health, and community settings. They work in roles such as fostering and adoption, emergency duty teams, learning disability and autism services, and hospital and community-based health and mental health teams. BASW’s membership also includes practitioners in voluntary and independent organisations, domestic abuse and palliative care services, alongside those contributing to research, education, and policy development.</w:t>
      </w:r>
    </w:p>
    <w:p w14:paraId="0FAF44A3" w14:textId="1BE0B870" w:rsidR="003A48B9" w:rsidRDefault="0CA88299" w:rsidP="55C4AFE2">
      <w:pPr>
        <w:spacing w:line="257" w:lineRule="auto"/>
      </w:pPr>
      <w:r w:rsidRPr="45451EA8">
        <w:rPr>
          <w:rFonts w:ascii="Aptos" w:eastAsia="Aptos" w:hAnsi="Aptos" w:cs="Aptos"/>
          <w:b/>
          <w:bCs/>
          <w:sz w:val="22"/>
          <w:szCs w:val="22"/>
        </w:rPr>
        <w:t>Introduction</w:t>
      </w:r>
    </w:p>
    <w:p w14:paraId="78935CB6" w14:textId="77777777" w:rsidR="00986CAB" w:rsidRPr="00986CAB" w:rsidRDefault="59A6544F" w:rsidP="00986CAB">
      <w:pPr>
        <w:spacing w:line="257" w:lineRule="auto"/>
        <w:rPr>
          <w:rFonts w:ascii="Aptos" w:eastAsia="Aptos" w:hAnsi="Aptos" w:cs="Aptos"/>
          <w:sz w:val="22"/>
          <w:szCs w:val="22"/>
        </w:rPr>
      </w:pPr>
      <w:r w:rsidRPr="45451EA8">
        <w:rPr>
          <w:rFonts w:ascii="Aptos" w:eastAsia="Aptos" w:hAnsi="Aptos" w:cs="Aptos"/>
          <w:sz w:val="22"/>
          <w:szCs w:val="22"/>
        </w:rPr>
        <w:t>BASW England welcomes the opportunity to contribute to the NHS 10-Year Workforce Plan call for evidence. As the professional association for social work, representing thousands of practitioners across England, BASW England provides evidence from a key part of the health and social care workforce that is too often overlooked in NHS workforce planning.</w:t>
      </w:r>
    </w:p>
    <w:p w14:paraId="4858A6C8" w14:textId="77777777" w:rsidR="00986CAB" w:rsidRPr="00986CAB" w:rsidRDefault="59A6544F" w:rsidP="00986CAB">
      <w:pPr>
        <w:spacing w:line="257" w:lineRule="auto"/>
        <w:rPr>
          <w:rFonts w:ascii="Aptos" w:eastAsia="Aptos" w:hAnsi="Aptos" w:cs="Aptos"/>
          <w:sz w:val="22"/>
          <w:szCs w:val="22"/>
        </w:rPr>
      </w:pPr>
      <w:r w:rsidRPr="45451EA8">
        <w:rPr>
          <w:rFonts w:ascii="Aptos" w:eastAsia="Aptos" w:hAnsi="Aptos" w:cs="Aptos"/>
          <w:sz w:val="22"/>
          <w:szCs w:val="22"/>
        </w:rPr>
        <w:t>Social workers play a distinct and vital role in achieving the NHS’s three shifts: moving care closer to communities, harnessing digital innovation, and prioritising prevention. Within health settings, social workers work both before and after hospital admission to support safe discharge, reduce unnecessary admissions, and address the social and environmental factors that influence health outcomes. Their role extends far beyond hospital discharge and includes early intervention, safeguarding, and advocacy within primary care, mental health, learning disability, and children and family services.</w:t>
      </w:r>
    </w:p>
    <w:p w14:paraId="0C031975" w14:textId="0F587870" w:rsidR="00986CAB" w:rsidRPr="00986CAB" w:rsidRDefault="59A6544F" w:rsidP="00986CAB">
      <w:pPr>
        <w:spacing w:line="257" w:lineRule="auto"/>
        <w:rPr>
          <w:rFonts w:ascii="Aptos" w:eastAsia="Aptos" w:hAnsi="Aptos" w:cs="Aptos"/>
          <w:sz w:val="22"/>
          <w:szCs w:val="22"/>
        </w:rPr>
      </w:pPr>
      <w:r w:rsidRPr="45451EA8">
        <w:rPr>
          <w:rFonts w:ascii="Aptos" w:eastAsia="Aptos" w:hAnsi="Aptos" w:cs="Aptos"/>
          <w:sz w:val="22"/>
          <w:szCs w:val="22"/>
        </w:rPr>
        <w:t xml:space="preserve">Social work is distinct from social </w:t>
      </w:r>
      <w:proofErr w:type="gramStart"/>
      <w:r w:rsidR="5B6534D5" w:rsidRPr="45451EA8">
        <w:rPr>
          <w:rFonts w:ascii="Aptos" w:eastAsia="Aptos" w:hAnsi="Aptos" w:cs="Aptos"/>
          <w:sz w:val="22"/>
          <w:szCs w:val="22"/>
        </w:rPr>
        <w:t>care, yet</w:t>
      </w:r>
      <w:proofErr w:type="gramEnd"/>
      <w:r w:rsidRPr="45451EA8">
        <w:rPr>
          <w:rFonts w:ascii="Aptos" w:eastAsia="Aptos" w:hAnsi="Aptos" w:cs="Aptos"/>
          <w:sz w:val="22"/>
          <w:szCs w:val="22"/>
        </w:rPr>
        <w:t xml:space="preserve"> deeply connected to it. While social care focuses on the delivery of practical support and care provision, social work brings professional expertise in rights-based assessment, legal literacy, relationship-based practice, and systemic analysis. These skills ensure that decisions about care are ethical, proportionate, and person-centred.</w:t>
      </w:r>
    </w:p>
    <w:p w14:paraId="467B6D79" w14:textId="0F77B6D9" w:rsidR="00986CAB" w:rsidRDefault="73A8BF26" w:rsidP="406E69E7">
      <w:pPr>
        <w:spacing w:line="257" w:lineRule="auto"/>
        <w:rPr>
          <w:rFonts w:ascii="Aptos" w:eastAsia="Aptos" w:hAnsi="Aptos" w:cs="Aptos"/>
          <w:sz w:val="22"/>
          <w:szCs w:val="22"/>
        </w:rPr>
      </w:pPr>
      <w:r w:rsidRPr="406E69E7">
        <w:rPr>
          <w:rFonts w:ascii="Aptos" w:eastAsia="Aptos" w:hAnsi="Aptos" w:cs="Aptos"/>
          <w:sz w:val="22"/>
          <w:szCs w:val="22"/>
        </w:rPr>
        <w:t>Over 5,000 social workers are employed directly by the NHS, with the majority working in multidisciplinary teams across mental health services, hospitals, community care, and specialist areas such as palliative care, rehabilitation, and GP-based services.</w:t>
      </w:r>
      <w:r w:rsidR="00986CAB" w:rsidRPr="406E69E7">
        <w:rPr>
          <w:rStyle w:val="FootnoteReference"/>
          <w:rFonts w:ascii="Aptos" w:eastAsia="Aptos" w:hAnsi="Aptos" w:cs="Aptos"/>
          <w:sz w:val="22"/>
          <w:szCs w:val="22"/>
        </w:rPr>
        <w:footnoteReference w:id="1"/>
      </w:r>
      <w:r w:rsidRPr="406E69E7">
        <w:rPr>
          <w:rFonts w:ascii="Aptos" w:eastAsia="Aptos" w:hAnsi="Aptos" w:cs="Aptos"/>
          <w:sz w:val="22"/>
          <w:szCs w:val="22"/>
        </w:rPr>
        <w:t xml:space="preserve"> </w:t>
      </w:r>
      <w:r w:rsidR="59A6544F" w:rsidRPr="45451EA8">
        <w:rPr>
          <w:rFonts w:ascii="Aptos" w:eastAsia="Aptos" w:hAnsi="Aptos" w:cs="Aptos"/>
          <w:sz w:val="22"/>
          <w:szCs w:val="22"/>
        </w:rPr>
        <w:t>However, their contribution remains</w:t>
      </w:r>
      <w:r w:rsidR="59A6544F" w:rsidRPr="406E69E7">
        <w:rPr>
          <w:rFonts w:ascii="Aptos" w:eastAsia="Aptos" w:hAnsi="Aptos" w:cs="Aptos"/>
          <w:sz w:val="22"/>
          <w:szCs w:val="22"/>
        </w:rPr>
        <w:t xml:space="preserve"> under-recognised in workforce planning. Strengthening social work’s professional identity within the </w:t>
      </w:r>
      <w:r w:rsidR="22FB7705" w:rsidRPr="406E69E7">
        <w:rPr>
          <w:rFonts w:ascii="Aptos" w:eastAsia="Aptos" w:hAnsi="Aptos" w:cs="Aptos"/>
          <w:sz w:val="22"/>
          <w:szCs w:val="22"/>
        </w:rPr>
        <w:t>NHS and</w:t>
      </w:r>
      <w:r w:rsidR="59A6544F" w:rsidRPr="406E69E7">
        <w:rPr>
          <w:rFonts w:ascii="Aptos" w:eastAsia="Aptos" w:hAnsi="Aptos" w:cs="Aptos"/>
          <w:sz w:val="22"/>
          <w:szCs w:val="22"/>
        </w:rPr>
        <w:t xml:space="preserve"> recognising it as a bridge between clinical and social </w:t>
      </w:r>
      <w:r w:rsidR="59A6544F" w:rsidRPr="406E69E7">
        <w:rPr>
          <w:rFonts w:ascii="Aptos" w:eastAsia="Aptos" w:hAnsi="Aptos" w:cs="Aptos"/>
          <w:sz w:val="22"/>
          <w:szCs w:val="22"/>
        </w:rPr>
        <w:lastRenderedPageBreak/>
        <w:t>models of care, is essential to achieving the long-term transformation envisioned in the 10-Year Workforce Plan.</w:t>
      </w:r>
    </w:p>
    <w:p w14:paraId="76D0FCFF" w14:textId="52196C0D" w:rsidR="00986CAB" w:rsidRDefault="59A6544F" w:rsidP="55C4AFE2">
      <w:pPr>
        <w:spacing w:line="257" w:lineRule="auto"/>
        <w:rPr>
          <w:rFonts w:ascii="Aptos" w:eastAsia="Aptos" w:hAnsi="Aptos" w:cs="Aptos"/>
          <w:sz w:val="22"/>
          <w:szCs w:val="22"/>
        </w:rPr>
      </w:pPr>
      <w:r w:rsidRPr="45451EA8">
        <w:rPr>
          <w:rFonts w:ascii="Aptos" w:eastAsia="Aptos" w:hAnsi="Aptos" w:cs="Aptos"/>
          <w:sz w:val="22"/>
          <w:szCs w:val="22"/>
        </w:rPr>
        <w:t>This submission comprises of key feedback shared by members of BASW England and experts by experience as part of extensive engagement we have conducted from the launch of NHS Change in 2024 and right up to the publication of this call for evidence.</w:t>
      </w:r>
    </w:p>
    <w:p w14:paraId="3ECF6326" w14:textId="6D86433E" w:rsidR="664382B4" w:rsidRDefault="4A1D2570" w:rsidP="20D9E43C">
      <w:pPr>
        <w:spacing w:line="257" w:lineRule="auto"/>
      </w:pPr>
      <w:r w:rsidRPr="20D9E43C">
        <w:rPr>
          <w:rFonts w:ascii="Aptos" w:eastAsia="Aptos" w:hAnsi="Aptos" w:cs="Aptos"/>
          <w:b/>
          <w:bCs/>
          <w:sz w:val="22"/>
          <w:szCs w:val="22"/>
        </w:rPr>
        <w:t>Digital Initiatives and Workforce Capacity</w:t>
      </w:r>
    </w:p>
    <w:p w14:paraId="41B7A4E5" w14:textId="4E364DEB" w:rsidR="00EF7063" w:rsidRPr="00EF7063" w:rsidRDefault="0CA88299" w:rsidP="00EF7063">
      <w:pPr>
        <w:spacing w:line="257" w:lineRule="auto"/>
        <w:rPr>
          <w:rFonts w:ascii="Aptos" w:eastAsia="Aptos" w:hAnsi="Aptos" w:cs="Aptos"/>
          <w:sz w:val="22"/>
          <w:szCs w:val="22"/>
        </w:rPr>
      </w:pPr>
      <w:r w:rsidRPr="45451EA8">
        <w:rPr>
          <w:rFonts w:ascii="Aptos" w:eastAsia="Aptos" w:hAnsi="Aptos" w:cs="Aptos"/>
          <w:sz w:val="22"/>
          <w:szCs w:val="22"/>
        </w:rPr>
        <w:t xml:space="preserve">BASW England members report that digital tools can enhance communication and efficiency when they are designed around both staff and </w:t>
      </w:r>
      <w:r w:rsidR="4D23D385" w:rsidRPr="45451EA8">
        <w:rPr>
          <w:rFonts w:ascii="Aptos" w:eastAsia="Aptos" w:hAnsi="Aptos" w:cs="Aptos"/>
          <w:sz w:val="22"/>
          <w:szCs w:val="22"/>
        </w:rPr>
        <w:t>people who draw on care and support</w:t>
      </w:r>
      <w:r w:rsidRPr="45451EA8">
        <w:rPr>
          <w:rFonts w:ascii="Aptos" w:eastAsia="Aptos" w:hAnsi="Aptos" w:cs="Aptos"/>
          <w:sz w:val="22"/>
          <w:szCs w:val="22"/>
        </w:rPr>
        <w:t xml:space="preserve">. In many areas, social workers are using shared record systems and information platforms to improve hospital discharge, coordinate community services, and monitor support plans. </w:t>
      </w:r>
    </w:p>
    <w:p w14:paraId="1825C89C" w14:textId="52CE211F" w:rsidR="664382B4" w:rsidRDefault="6310A1F2" w:rsidP="55C4AFE2">
      <w:pPr>
        <w:spacing w:line="257" w:lineRule="auto"/>
        <w:rPr>
          <w:rFonts w:ascii="Aptos" w:eastAsia="Aptos" w:hAnsi="Aptos" w:cs="Aptos"/>
          <w:sz w:val="22"/>
          <w:szCs w:val="22"/>
        </w:rPr>
      </w:pPr>
      <w:r w:rsidRPr="45451EA8">
        <w:rPr>
          <w:rFonts w:ascii="Aptos" w:eastAsia="Aptos" w:hAnsi="Aptos" w:cs="Aptos"/>
          <w:sz w:val="22"/>
          <w:szCs w:val="22"/>
        </w:rPr>
        <w:t>When these systems work well together and are easy to use, they save time, cut down on repetition, and give professionals more time to focus on direct, person-centred work.</w:t>
      </w:r>
    </w:p>
    <w:p w14:paraId="323230A8" w14:textId="3EFF8EDB" w:rsidR="664382B4" w:rsidRDefault="4A1D2570" w:rsidP="20D9E43C">
      <w:pPr>
        <w:spacing w:line="257" w:lineRule="auto"/>
      </w:pPr>
      <w:r w:rsidRPr="20D9E43C">
        <w:rPr>
          <w:rFonts w:ascii="Aptos" w:eastAsia="Aptos" w:hAnsi="Aptos" w:cs="Aptos"/>
          <w:sz w:val="22"/>
          <w:szCs w:val="22"/>
        </w:rPr>
        <w:t>However, members are clear that technology cannot replace the human connection at the heart of social work. Digital solutions must support, not substitute, professional judgement, empathy, and trust-building. The workforce must be equipped with the digital literacy and ethical guidance needed to use technology confidently and responsibly.</w:t>
      </w:r>
    </w:p>
    <w:p w14:paraId="0FA18389" w14:textId="512E2914" w:rsidR="664382B4" w:rsidRDefault="4A1D2570" w:rsidP="55C4AFE2">
      <w:pPr>
        <w:spacing w:line="257" w:lineRule="auto"/>
        <w:rPr>
          <w:rFonts w:ascii="Aptos" w:eastAsia="Aptos" w:hAnsi="Aptos" w:cs="Aptos"/>
          <w:sz w:val="22"/>
          <w:szCs w:val="22"/>
        </w:rPr>
      </w:pPr>
      <w:r w:rsidRPr="55C4AFE2">
        <w:rPr>
          <w:rFonts w:ascii="Aptos" w:eastAsia="Aptos" w:hAnsi="Aptos" w:cs="Aptos"/>
          <w:sz w:val="22"/>
          <w:szCs w:val="22"/>
        </w:rPr>
        <w:t>The transition to digital also requires attention to digital exclusion. Older adults, people living in poverty, and those with limited digital access are at risk of being left behind. Workforce training therefore needs to include awareness of digital inequalities and the skills to support people to use technology safely and effectively</w:t>
      </w:r>
      <w:r w:rsidR="17C1959C" w:rsidRPr="55C4AFE2">
        <w:rPr>
          <w:rFonts w:ascii="Aptos" w:eastAsia="Aptos" w:hAnsi="Aptos" w:cs="Aptos"/>
          <w:sz w:val="22"/>
          <w:szCs w:val="22"/>
        </w:rPr>
        <w:t xml:space="preserve">.  </w:t>
      </w:r>
      <w:r w:rsidRPr="55C4AFE2">
        <w:rPr>
          <w:rFonts w:ascii="Aptos" w:eastAsia="Aptos" w:hAnsi="Aptos" w:cs="Aptos"/>
          <w:sz w:val="22"/>
          <w:szCs w:val="22"/>
        </w:rPr>
        <w:t>When technology and social work practice are aligned, digital initiatives become enablers of better care, streamlining systems and freeing time for the human-to-human work that underpins wellbeing and recovery.</w:t>
      </w:r>
    </w:p>
    <w:p w14:paraId="0FC021AE" w14:textId="3F81E970" w:rsidR="664382B4" w:rsidRDefault="4A1D2570" w:rsidP="20D9E43C">
      <w:pPr>
        <w:spacing w:line="257" w:lineRule="auto"/>
      </w:pPr>
      <w:r w:rsidRPr="20D9E43C">
        <w:rPr>
          <w:rFonts w:ascii="Aptos" w:eastAsia="Aptos" w:hAnsi="Aptos" w:cs="Aptos"/>
          <w:b/>
          <w:bCs/>
          <w:sz w:val="22"/>
          <w:szCs w:val="22"/>
        </w:rPr>
        <w:t>Shifting Care from Hospitals to Communities</w:t>
      </w:r>
    </w:p>
    <w:p w14:paraId="6F1BA542" w14:textId="79FB8393" w:rsidR="664382B4" w:rsidRDefault="4A1D2570" w:rsidP="20D9E43C">
      <w:pPr>
        <w:spacing w:line="257" w:lineRule="auto"/>
      </w:pPr>
      <w:r w:rsidRPr="20D9E43C">
        <w:rPr>
          <w:rFonts w:ascii="Aptos" w:eastAsia="Aptos" w:hAnsi="Aptos" w:cs="Aptos"/>
          <w:sz w:val="22"/>
          <w:szCs w:val="22"/>
        </w:rPr>
        <w:t>BASW England strongly supports the ambition to move care closer to home. Social workers are already leading and enabling this shift, but achieving it at scale requires sustained workforce investment, integration, and cultural change.</w:t>
      </w:r>
    </w:p>
    <w:p w14:paraId="4E7DD3AA" w14:textId="77777777" w:rsidR="00E80F55" w:rsidRDefault="074519EA" w:rsidP="20D9E43C">
      <w:pPr>
        <w:spacing w:line="257" w:lineRule="auto"/>
        <w:rPr>
          <w:rFonts w:ascii="Aptos" w:eastAsia="Aptos" w:hAnsi="Aptos" w:cs="Aptos"/>
          <w:sz w:val="22"/>
          <w:szCs w:val="22"/>
        </w:rPr>
      </w:pPr>
      <w:r w:rsidRPr="45451EA8">
        <w:rPr>
          <w:rFonts w:ascii="Aptos" w:eastAsia="Aptos" w:hAnsi="Aptos" w:cs="Aptos"/>
          <w:sz w:val="22"/>
          <w:szCs w:val="22"/>
        </w:rPr>
        <w:t>Social workers play a crucial role in keeping people well in their communities, preventing unnecessary hospital admissions, and ensuring safe and timely discharges. Their work directly supports the NHS goal of shifting care from hospitals to community settings. Members have shared many examples of this impact in practice. One member, previously part of a hospital social work team, later joined a learning disability service where they focused on preventing admissions to specialist hospitals by supporting carers, stabilising care arrangements, and addressing early risks of family breakdown. Another member, working as a Primary Care Case Manager, coordinated multiple community services including physiotherapy, urgent care response, district nursing, and alcohol support to stabilise a patient after discharge. This intervention not only prevented readmission but also tackled wider social factors such as isolation, poor nutrition, and housing insecurity.</w:t>
      </w:r>
    </w:p>
    <w:p w14:paraId="6B58955F" w14:textId="49E39AF1" w:rsidR="00A13B7E" w:rsidRDefault="74BC756D" w:rsidP="45451EA8">
      <w:pPr>
        <w:spacing w:line="257" w:lineRule="auto"/>
        <w:rPr>
          <w:rFonts w:ascii="Aptos" w:eastAsia="Aptos" w:hAnsi="Aptos" w:cs="Aptos"/>
          <w:sz w:val="22"/>
          <w:szCs w:val="22"/>
        </w:rPr>
      </w:pPr>
      <w:r w:rsidRPr="45451EA8">
        <w:rPr>
          <w:rFonts w:ascii="Aptos" w:eastAsia="Aptos" w:hAnsi="Aptos" w:cs="Aptos"/>
          <w:sz w:val="22"/>
          <w:szCs w:val="22"/>
        </w:rPr>
        <w:t xml:space="preserve">The workforce challenges, however, remain substantial. Social workers continue to report widespread shortages across hospital and community settings, limited recognition of their professional expertise, and fragmented coordination between NHS and local authority employers. Too often, social work within the NHS is viewed narrowly </w:t>
      </w:r>
      <w:r w:rsidR="022CD39E" w:rsidRPr="45451EA8">
        <w:rPr>
          <w:rFonts w:ascii="Aptos" w:eastAsia="Aptos" w:hAnsi="Aptos" w:cs="Aptos"/>
          <w:sz w:val="22"/>
          <w:szCs w:val="22"/>
        </w:rPr>
        <w:t>to</w:t>
      </w:r>
      <w:r w:rsidRPr="45451EA8">
        <w:rPr>
          <w:rFonts w:ascii="Aptos" w:eastAsia="Aptos" w:hAnsi="Aptos" w:cs="Aptos"/>
          <w:sz w:val="22"/>
          <w:szCs w:val="22"/>
        </w:rPr>
        <w:t xml:space="preserve"> relieve “bed blocking,” rather than as a profession central to prevention, recovery, and sustained wellbeing. Integration is further hindered by differing pay structures, governance arrangements, and priorities </w:t>
      </w:r>
      <w:r w:rsidRPr="45451EA8">
        <w:rPr>
          <w:rFonts w:ascii="Aptos" w:eastAsia="Aptos" w:hAnsi="Aptos" w:cs="Aptos"/>
          <w:sz w:val="22"/>
          <w:szCs w:val="22"/>
        </w:rPr>
        <w:lastRenderedPageBreak/>
        <w:t>between health and social care systems. In many areas, commissioning remains poorly aligned, with health and social care services planned and funded separately. This lack of integrated commissioning leads to gaps in provision and contributes to hospital throughput pressures, as community services are not always sufficiently resourced or coordinated to safely receive patients once they are ready to leave hospital.</w:t>
      </w:r>
    </w:p>
    <w:p w14:paraId="6B98BC78" w14:textId="27AF7E12" w:rsidR="664382B4" w:rsidRDefault="0CA88299" w:rsidP="45451EA8">
      <w:pPr>
        <w:spacing w:line="257" w:lineRule="auto"/>
        <w:rPr>
          <w:rFonts w:ascii="Aptos" w:eastAsia="Aptos" w:hAnsi="Aptos" w:cs="Aptos"/>
          <w:sz w:val="22"/>
          <w:szCs w:val="22"/>
        </w:rPr>
      </w:pPr>
      <w:r w:rsidRPr="45451EA8">
        <w:rPr>
          <w:rFonts w:ascii="Aptos" w:eastAsia="Aptos" w:hAnsi="Aptos" w:cs="Aptos"/>
          <w:sz w:val="22"/>
          <w:szCs w:val="22"/>
        </w:rPr>
        <w:t xml:space="preserve">Addressing these workforce barriers requires national commitment to parity of esteem between professions, </w:t>
      </w:r>
      <w:r w:rsidR="3EC1761E" w:rsidRPr="45451EA8">
        <w:rPr>
          <w:rFonts w:ascii="Aptos" w:eastAsia="Aptos" w:hAnsi="Aptos" w:cs="Aptos"/>
          <w:sz w:val="22"/>
          <w:szCs w:val="22"/>
        </w:rPr>
        <w:t xml:space="preserve">equal pay, </w:t>
      </w:r>
      <w:r w:rsidRPr="45451EA8">
        <w:rPr>
          <w:rFonts w:ascii="Aptos" w:eastAsia="Aptos" w:hAnsi="Aptos" w:cs="Aptos"/>
          <w:sz w:val="22"/>
          <w:szCs w:val="22"/>
        </w:rPr>
        <w:t xml:space="preserve">investment in social care </w:t>
      </w:r>
      <w:r w:rsidR="57D0E3FB" w:rsidRPr="45451EA8">
        <w:rPr>
          <w:rFonts w:ascii="Aptos" w:eastAsia="Aptos" w:hAnsi="Aptos" w:cs="Aptos"/>
          <w:sz w:val="22"/>
          <w:szCs w:val="22"/>
        </w:rPr>
        <w:t xml:space="preserve">and social work </w:t>
      </w:r>
      <w:r w:rsidRPr="45451EA8">
        <w:rPr>
          <w:rFonts w:ascii="Aptos" w:eastAsia="Aptos" w:hAnsi="Aptos" w:cs="Aptos"/>
          <w:sz w:val="22"/>
          <w:szCs w:val="22"/>
        </w:rPr>
        <w:t xml:space="preserve">capacity, and shared leadership across Integrated Care Systems (ICSs) and Integrated Care Boards (ICBs). Embedding social workers within multidisciplinary teams, co-locating health and social care staff, and ensuring equal access to professional development opportunities </w:t>
      </w:r>
      <w:r w:rsidR="73763E95" w:rsidRPr="45451EA8">
        <w:rPr>
          <w:rFonts w:ascii="Aptos" w:eastAsia="Aptos" w:hAnsi="Aptos" w:cs="Aptos"/>
          <w:sz w:val="22"/>
          <w:szCs w:val="22"/>
        </w:rPr>
        <w:t xml:space="preserve">and career progression </w:t>
      </w:r>
      <w:r w:rsidRPr="45451EA8">
        <w:rPr>
          <w:rFonts w:ascii="Aptos" w:eastAsia="Aptos" w:hAnsi="Aptos" w:cs="Aptos"/>
          <w:sz w:val="22"/>
          <w:szCs w:val="22"/>
        </w:rPr>
        <w:t>are all essential enablers of this shift.</w:t>
      </w:r>
    </w:p>
    <w:p w14:paraId="7F3A2193" w14:textId="1CB5CCAC" w:rsidR="664382B4" w:rsidRDefault="4A1D2570" w:rsidP="55C4AFE2">
      <w:pPr>
        <w:spacing w:line="257" w:lineRule="auto"/>
        <w:rPr>
          <w:rFonts w:ascii="Aptos" w:eastAsia="Aptos" w:hAnsi="Aptos" w:cs="Aptos"/>
          <w:sz w:val="22"/>
          <w:szCs w:val="22"/>
        </w:rPr>
      </w:pPr>
      <w:r w:rsidRPr="55C4AFE2">
        <w:rPr>
          <w:rFonts w:ascii="Aptos" w:eastAsia="Aptos" w:hAnsi="Aptos" w:cs="Aptos"/>
          <w:sz w:val="22"/>
          <w:szCs w:val="22"/>
        </w:rPr>
        <w:t xml:space="preserve">When social work is fully integrated, </w:t>
      </w:r>
      <w:r w:rsidR="0D50381F" w:rsidRPr="55C4AFE2">
        <w:rPr>
          <w:rFonts w:ascii="Aptos" w:eastAsia="Aptos" w:hAnsi="Aptos" w:cs="Aptos"/>
          <w:sz w:val="22"/>
          <w:szCs w:val="22"/>
        </w:rPr>
        <w:t xml:space="preserve">and involved at the earliest opportunity within MDT working, </w:t>
      </w:r>
      <w:r w:rsidRPr="55C4AFE2">
        <w:rPr>
          <w:rFonts w:ascii="Aptos" w:eastAsia="Aptos" w:hAnsi="Aptos" w:cs="Aptos"/>
          <w:sz w:val="22"/>
          <w:szCs w:val="22"/>
        </w:rPr>
        <w:t xml:space="preserve">the result is a more sustainable, rights-based, and </w:t>
      </w:r>
      <w:r w:rsidR="0DFAF9AE" w:rsidRPr="55C4AFE2">
        <w:rPr>
          <w:rFonts w:ascii="Aptos" w:eastAsia="Aptos" w:hAnsi="Aptos" w:cs="Aptos"/>
          <w:sz w:val="22"/>
          <w:szCs w:val="22"/>
        </w:rPr>
        <w:t xml:space="preserve">relational and </w:t>
      </w:r>
      <w:r w:rsidRPr="55C4AFE2">
        <w:rPr>
          <w:rFonts w:ascii="Aptos" w:eastAsia="Aptos" w:hAnsi="Aptos" w:cs="Aptos"/>
          <w:sz w:val="22"/>
          <w:szCs w:val="22"/>
        </w:rPr>
        <w:t>person-centred model of care that allows people to recover and thrive in their communities, reducing pressure on hospitals and other acute services.</w:t>
      </w:r>
    </w:p>
    <w:p w14:paraId="4E4F6CAE" w14:textId="30E9C6D9" w:rsidR="664382B4" w:rsidRDefault="4A1D2570" w:rsidP="20D9E43C">
      <w:pPr>
        <w:spacing w:line="257" w:lineRule="auto"/>
      </w:pPr>
      <w:r w:rsidRPr="20D9E43C">
        <w:rPr>
          <w:rFonts w:ascii="Aptos" w:eastAsia="Aptos" w:hAnsi="Aptos" w:cs="Aptos"/>
          <w:b/>
          <w:bCs/>
          <w:sz w:val="22"/>
          <w:szCs w:val="22"/>
        </w:rPr>
        <w:t>From Sickness to Prevention</w:t>
      </w:r>
    </w:p>
    <w:p w14:paraId="6C4C54EB" w14:textId="77777777" w:rsidR="00F01832" w:rsidRDefault="192E96CF" w:rsidP="20D9E43C">
      <w:pPr>
        <w:spacing w:line="257" w:lineRule="auto"/>
        <w:rPr>
          <w:rFonts w:ascii="Aptos" w:eastAsia="Aptos" w:hAnsi="Aptos" w:cs="Aptos"/>
          <w:sz w:val="22"/>
          <w:szCs w:val="22"/>
        </w:rPr>
      </w:pPr>
      <w:r w:rsidRPr="45451EA8">
        <w:rPr>
          <w:rFonts w:ascii="Aptos" w:eastAsia="Aptos" w:hAnsi="Aptos" w:cs="Aptos"/>
          <w:sz w:val="22"/>
          <w:szCs w:val="22"/>
        </w:rPr>
        <w:t>The shift from sickness to prevention depends on a workforce that can recognise and address the social conditions that underpin poor health. Social workers are already embedded in this work, using their skills to identify risks early, coordinate support before crises develop, and challenge structural inequalities such as poverty, insecure housing, discrimination, and isolation. To strengthen prevention, social workers should be located within communities as part of the social fabric, working alongside primary care, education, and voluntary sector partners. Establishing clear practice pathways that allow social workers to move fluidly between community, primary care, and hospital settings would create continuity, promote early intervention, and ensure people receive the right support at the right time.</w:t>
      </w:r>
    </w:p>
    <w:p w14:paraId="67CE4AB8" w14:textId="74B7F514" w:rsidR="664382B4" w:rsidRDefault="0CA88299" w:rsidP="45451EA8">
      <w:pPr>
        <w:spacing w:line="257" w:lineRule="auto"/>
      </w:pPr>
      <w:r w:rsidRPr="45451EA8">
        <w:rPr>
          <w:rFonts w:ascii="Aptos" w:eastAsia="Aptos" w:hAnsi="Aptos" w:cs="Aptos"/>
          <w:sz w:val="22"/>
          <w:szCs w:val="22"/>
        </w:rPr>
        <w:t>BASW members described numerous examples of preventative practice. In learning disability and autism services, social workers play a critical role in preventing unnecessary hospital admissions by maintaining community support and ensuring services make reasonable adjustments for neurodivergent people. As one member noted through their work as an autism commissioner, there are significant inefficiencies and inequities in current systems</w:t>
      </w:r>
      <w:r w:rsidR="20EBF088" w:rsidRPr="45451EA8">
        <w:rPr>
          <w:rFonts w:ascii="Aptos" w:eastAsia="Aptos" w:hAnsi="Aptos" w:cs="Aptos"/>
          <w:sz w:val="22"/>
          <w:szCs w:val="22"/>
        </w:rPr>
        <w:t>. For example, there is a disproportionately high number of autistic people in mental health hospital</w:t>
      </w:r>
      <w:r w:rsidR="36230B95" w:rsidRPr="45451EA8">
        <w:rPr>
          <w:rFonts w:ascii="Aptos" w:eastAsia="Aptos" w:hAnsi="Aptos" w:cs="Aptos"/>
          <w:sz w:val="22"/>
          <w:szCs w:val="22"/>
        </w:rPr>
        <w:t>.</w:t>
      </w:r>
      <w:r w:rsidRPr="45451EA8">
        <w:rPr>
          <w:rFonts w:ascii="Aptos" w:eastAsia="Aptos" w:hAnsi="Aptos" w:cs="Aptos"/>
          <w:sz w:val="22"/>
          <w:szCs w:val="22"/>
        </w:rPr>
        <w:t xml:space="preserve"> </w:t>
      </w:r>
      <w:r w:rsidR="36230B95" w:rsidRPr="45451EA8">
        <w:rPr>
          <w:rFonts w:ascii="Aptos" w:eastAsia="Aptos" w:hAnsi="Aptos" w:cs="Aptos"/>
          <w:sz w:val="22"/>
          <w:szCs w:val="22"/>
        </w:rPr>
        <w:t>G</w:t>
      </w:r>
      <w:r w:rsidRPr="45451EA8">
        <w:rPr>
          <w:rFonts w:ascii="Aptos" w:eastAsia="Aptos" w:hAnsi="Aptos" w:cs="Aptos"/>
          <w:sz w:val="22"/>
          <w:szCs w:val="22"/>
        </w:rPr>
        <w:t>reater adherence to legal duties and the adoption of neurodiversity-affirmative approaches would both improve outcomes and reduce costs.</w:t>
      </w:r>
    </w:p>
    <w:p w14:paraId="349FA9CE" w14:textId="2A5C4C52" w:rsidR="664382B4" w:rsidRDefault="4A1D2570" w:rsidP="20D9E43C">
      <w:pPr>
        <w:spacing w:line="257" w:lineRule="auto"/>
      </w:pPr>
      <w:r w:rsidRPr="20D9E43C">
        <w:rPr>
          <w:rFonts w:ascii="Aptos" w:eastAsia="Aptos" w:hAnsi="Aptos" w:cs="Aptos"/>
          <w:sz w:val="22"/>
          <w:szCs w:val="22"/>
        </w:rPr>
        <w:t>Preventative care also relies on strong relationships and advocacy. In acute and intermediate care settings, social workers build trust with patients, explain complex processes, and advocate for their preferences and rights. This relational work supports early identification of issues, mitigates anxiety, and fosters person-centred decision-making.</w:t>
      </w:r>
    </w:p>
    <w:p w14:paraId="4103C9F4" w14:textId="1E48324D" w:rsidR="664382B4" w:rsidRDefault="0CA88299" w:rsidP="20D9E43C">
      <w:pPr>
        <w:spacing w:line="257" w:lineRule="auto"/>
        <w:rPr>
          <w:rFonts w:ascii="Aptos" w:eastAsia="Aptos" w:hAnsi="Aptos" w:cs="Aptos"/>
          <w:sz w:val="22"/>
          <w:szCs w:val="22"/>
        </w:rPr>
      </w:pPr>
      <w:r w:rsidRPr="45451EA8">
        <w:rPr>
          <w:rFonts w:ascii="Aptos" w:eastAsia="Aptos" w:hAnsi="Aptos" w:cs="Aptos"/>
          <w:sz w:val="22"/>
          <w:szCs w:val="22"/>
        </w:rPr>
        <w:t>Despite their proven impact, preventative roles are often undervalued or underfunded. Reactive, crisis-driven models continue to dominate workforce planning. The NHS workforce plan must invest in social work capacity to deliver prevention, not just crisis response. Embedding social work within public health and primary care teams would strengthen early identification, enable holistic assessments</w:t>
      </w:r>
      <w:r w:rsidR="3C1D3B3B" w:rsidRPr="45451EA8">
        <w:rPr>
          <w:rFonts w:ascii="Aptos" w:eastAsia="Aptos" w:hAnsi="Aptos" w:cs="Aptos"/>
          <w:sz w:val="22"/>
          <w:szCs w:val="22"/>
        </w:rPr>
        <w:t xml:space="preserve"> and greater inter-professional working </w:t>
      </w:r>
      <w:r w:rsidRPr="45451EA8">
        <w:rPr>
          <w:rFonts w:ascii="Aptos" w:eastAsia="Aptos" w:hAnsi="Aptos" w:cs="Aptos"/>
          <w:sz w:val="22"/>
          <w:szCs w:val="22"/>
        </w:rPr>
        <w:t>and promote wellbeing across populations.</w:t>
      </w:r>
    </w:p>
    <w:p w14:paraId="2E6A7F19" w14:textId="77777777" w:rsidR="009D4847" w:rsidRDefault="009D4847" w:rsidP="20D9E43C">
      <w:pPr>
        <w:spacing w:line="257" w:lineRule="auto"/>
      </w:pPr>
    </w:p>
    <w:p w14:paraId="3B2A1738" w14:textId="1FE9948E" w:rsidR="664382B4" w:rsidRDefault="4A1D2570" w:rsidP="20D9E43C">
      <w:pPr>
        <w:spacing w:line="257" w:lineRule="auto"/>
      </w:pPr>
      <w:r w:rsidRPr="20D9E43C">
        <w:rPr>
          <w:rFonts w:ascii="Aptos" w:eastAsia="Aptos" w:hAnsi="Aptos" w:cs="Aptos"/>
          <w:b/>
          <w:bCs/>
          <w:sz w:val="22"/>
          <w:szCs w:val="22"/>
        </w:rPr>
        <w:t>Roles, Skills, and Professional Contribution</w:t>
      </w:r>
    </w:p>
    <w:p w14:paraId="26D639A9" w14:textId="0BC7E3F0" w:rsidR="664382B4" w:rsidRDefault="4A1D2570" w:rsidP="55C4AFE2">
      <w:pPr>
        <w:spacing w:line="257" w:lineRule="auto"/>
        <w:rPr>
          <w:rFonts w:ascii="Aptos" w:eastAsia="Aptos" w:hAnsi="Aptos" w:cs="Aptos"/>
          <w:sz w:val="22"/>
          <w:szCs w:val="22"/>
        </w:rPr>
      </w:pPr>
      <w:r w:rsidRPr="55C4AFE2">
        <w:rPr>
          <w:rFonts w:ascii="Aptos" w:eastAsia="Aptos" w:hAnsi="Aptos" w:cs="Aptos"/>
          <w:sz w:val="22"/>
          <w:szCs w:val="22"/>
        </w:rPr>
        <w:lastRenderedPageBreak/>
        <w:t xml:space="preserve">Social workers bring a distinctive </w:t>
      </w:r>
      <w:r w:rsidR="27F4DA7A" w:rsidRPr="55C4AFE2">
        <w:rPr>
          <w:rFonts w:ascii="Aptos" w:eastAsia="Aptos" w:hAnsi="Aptos" w:cs="Aptos"/>
          <w:sz w:val="22"/>
          <w:szCs w:val="22"/>
        </w:rPr>
        <w:t xml:space="preserve">and unique </w:t>
      </w:r>
      <w:r w:rsidRPr="55C4AFE2">
        <w:rPr>
          <w:rFonts w:ascii="Aptos" w:eastAsia="Aptos" w:hAnsi="Aptos" w:cs="Aptos"/>
          <w:sz w:val="22"/>
          <w:szCs w:val="22"/>
        </w:rPr>
        <w:t xml:space="preserve">blend of skills that are essential to achieving the three shifts. Their ability to view individuals within the wider context of family, </w:t>
      </w:r>
      <w:r w:rsidR="3CC5E3E9" w:rsidRPr="55C4AFE2">
        <w:rPr>
          <w:rFonts w:ascii="Aptos" w:eastAsia="Aptos" w:hAnsi="Aptos" w:cs="Aptos"/>
          <w:sz w:val="22"/>
          <w:szCs w:val="22"/>
        </w:rPr>
        <w:t>community, environment</w:t>
      </w:r>
      <w:r w:rsidRPr="55C4AFE2">
        <w:rPr>
          <w:rFonts w:ascii="Aptos" w:eastAsia="Aptos" w:hAnsi="Aptos" w:cs="Aptos"/>
          <w:sz w:val="22"/>
          <w:szCs w:val="22"/>
        </w:rPr>
        <w:t xml:space="preserve"> </w:t>
      </w:r>
      <w:r w:rsidR="7F68CACF" w:rsidRPr="55C4AFE2">
        <w:rPr>
          <w:rFonts w:ascii="Aptos" w:eastAsia="Aptos" w:hAnsi="Aptos" w:cs="Aptos"/>
          <w:sz w:val="22"/>
          <w:szCs w:val="22"/>
        </w:rPr>
        <w:t xml:space="preserve">and </w:t>
      </w:r>
      <w:r w:rsidR="7B6BBBA8" w:rsidRPr="55C4AFE2">
        <w:rPr>
          <w:rFonts w:ascii="Aptos" w:eastAsia="Aptos" w:hAnsi="Aptos" w:cs="Aptos"/>
          <w:sz w:val="22"/>
          <w:szCs w:val="22"/>
        </w:rPr>
        <w:t>society, allows</w:t>
      </w:r>
      <w:r w:rsidRPr="55C4AFE2">
        <w:rPr>
          <w:rFonts w:ascii="Aptos" w:eastAsia="Aptos" w:hAnsi="Aptos" w:cs="Aptos"/>
          <w:sz w:val="22"/>
          <w:szCs w:val="22"/>
        </w:rPr>
        <w:t xml:space="preserve"> them to design interventions that are effective and sustainable. Their expertise in law, ethics, and human rights ensures that care is proportionate and grounded in people’s autonomy and dignity.</w:t>
      </w:r>
    </w:p>
    <w:p w14:paraId="05B8D252" w14:textId="558A9B4D" w:rsidR="664382B4" w:rsidRDefault="4A1D2570" w:rsidP="20D9E43C">
      <w:pPr>
        <w:spacing w:line="257" w:lineRule="auto"/>
      </w:pPr>
      <w:r w:rsidRPr="55C4AFE2">
        <w:rPr>
          <w:rFonts w:ascii="Aptos" w:eastAsia="Aptos" w:hAnsi="Aptos" w:cs="Aptos"/>
          <w:sz w:val="22"/>
          <w:szCs w:val="22"/>
        </w:rPr>
        <w:t>Social workers excel in communication, coordination, and advocacy, skills that ensure information is clear</w:t>
      </w:r>
      <w:r w:rsidR="721977B6" w:rsidRPr="55C4AFE2">
        <w:rPr>
          <w:rFonts w:ascii="Aptos" w:eastAsia="Aptos" w:hAnsi="Aptos" w:cs="Aptos"/>
          <w:sz w:val="22"/>
          <w:szCs w:val="22"/>
        </w:rPr>
        <w:t xml:space="preserve"> and made accessible</w:t>
      </w:r>
      <w:r w:rsidRPr="55C4AFE2">
        <w:rPr>
          <w:rFonts w:ascii="Aptos" w:eastAsia="Aptos" w:hAnsi="Aptos" w:cs="Aptos"/>
          <w:sz w:val="22"/>
          <w:szCs w:val="22"/>
        </w:rPr>
        <w:t>, decisions are transparent, and individuals’ voices are heard within multidisciplinary teams. They contribute to safer discharge planning, better risk management, and more holistic decision-making. As one member described, chairing a multi-agency meeting under MAPPA, their knowledge of legislation and rights-based practice was critical in ensuring proportionate and humane outcomes for a person whose history had made other professionals overly risk-averse.</w:t>
      </w:r>
    </w:p>
    <w:p w14:paraId="0C01A9B5" w14:textId="0BF94C68" w:rsidR="664382B4" w:rsidRDefault="0CA88299" w:rsidP="55C4AFE2">
      <w:pPr>
        <w:spacing w:line="257" w:lineRule="auto"/>
        <w:rPr>
          <w:rFonts w:ascii="Aptos" w:eastAsia="Aptos" w:hAnsi="Aptos" w:cs="Aptos"/>
          <w:sz w:val="22"/>
          <w:szCs w:val="22"/>
        </w:rPr>
      </w:pPr>
      <w:r w:rsidRPr="55C4AFE2">
        <w:rPr>
          <w:rFonts w:ascii="Aptos" w:eastAsia="Aptos" w:hAnsi="Aptos" w:cs="Aptos"/>
          <w:sz w:val="22"/>
          <w:szCs w:val="22"/>
        </w:rPr>
        <w:t>In every setting, social workers act as connectors between hospital and home, between health and social care, and between individuals</w:t>
      </w:r>
      <w:r w:rsidR="3E876CFC" w:rsidRPr="45451EA8">
        <w:rPr>
          <w:rFonts w:ascii="Aptos" w:eastAsia="Aptos" w:hAnsi="Aptos" w:cs="Aptos"/>
          <w:sz w:val="22"/>
          <w:szCs w:val="22"/>
        </w:rPr>
        <w:t xml:space="preserve">, </w:t>
      </w:r>
      <w:r w:rsidR="3E876CFC" w:rsidRPr="406E69E7">
        <w:rPr>
          <w:rFonts w:ascii="Aptos" w:eastAsia="Aptos" w:hAnsi="Aptos" w:cs="Aptos"/>
          <w:sz w:val="22"/>
          <w:szCs w:val="22"/>
        </w:rPr>
        <w:t>communities</w:t>
      </w:r>
      <w:r w:rsidRPr="55C4AFE2">
        <w:rPr>
          <w:rFonts w:ascii="Aptos" w:eastAsia="Aptos" w:hAnsi="Aptos" w:cs="Aptos"/>
          <w:sz w:val="22"/>
          <w:szCs w:val="22"/>
        </w:rPr>
        <w:t xml:space="preserve"> and systems. These professional capabilities must be recognised and embedded within NHS workforce planning, training, and leadership pathways.</w:t>
      </w:r>
      <w:r w:rsidR="664382B4" w:rsidRPr="55C4AFE2">
        <w:rPr>
          <w:rStyle w:val="FootnoteReference"/>
          <w:rFonts w:ascii="Aptos" w:eastAsia="Aptos" w:hAnsi="Aptos" w:cs="Aptos"/>
          <w:sz w:val="22"/>
          <w:szCs w:val="22"/>
        </w:rPr>
        <w:footnoteReference w:id="2"/>
      </w:r>
    </w:p>
    <w:p w14:paraId="46AC263A" w14:textId="62A5930C" w:rsidR="664382B4" w:rsidRDefault="4A1D2570" w:rsidP="20D9E43C">
      <w:pPr>
        <w:spacing w:line="257" w:lineRule="auto"/>
      </w:pPr>
      <w:r w:rsidRPr="20D9E43C">
        <w:rPr>
          <w:rFonts w:ascii="Aptos" w:eastAsia="Aptos" w:hAnsi="Aptos" w:cs="Aptos"/>
          <w:b/>
          <w:bCs/>
          <w:sz w:val="22"/>
          <w:szCs w:val="22"/>
        </w:rPr>
        <w:t>Barriers and Opportunities for Workforce Reform</w:t>
      </w:r>
    </w:p>
    <w:p w14:paraId="0DBA3B40" w14:textId="77777777" w:rsidR="000F22AB" w:rsidRPr="000F22AB" w:rsidRDefault="4C201B7E" w:rsidP="000F22AB">
      <w:pPr>
        <w:spacing w:line="257" w:lineRule="auto"/>
        <w:rPr>
          <w:rFonts w:ascii="Aptos" w:eastAsia="Aptos" w:hAnsi="Aptos" w:cs="Aptos"/>
          <w:sz w:val="22"/>
          <w:szCs w:val="22"/>
        </w:rPr>
      </w:pPr>
      <w:r w:rsidRPr="45451EA8">
        <w:rPr>
          <w:rFonts w:ascii="Aptos" w:eastAsia="Aptos" w:hAnsi="Aptos" w:cs="Aptos"/>
          <w:sz w:val="22"/>
          <w:szCs w:val="22"/>
        </w:rPr>
        <w:t>Members identified systemic barriers that limit the effectiveness of the current workforce model, including persistent shortages, high caseloads, pay disparities, and the separation of NHS and social care governance. The lack of a joint workforce strategy across these systems means that workforce planning often responds to short-term pressures rather than long-term need, resulting in cycles of recruitment crises in specific professions. Without a shared approach, duplication, inefficiency, and gaps in service delivery continue to undermine the effectiveness of both sectors.</w:t>
      </w:r>
    </w:p>
    <w:p w14:paraId="3B900525" w14:textId="1F2C3082" w:rsidR="664382B4" w:rsidRDefault="0CA88299" w:rsidP="45451EA8">
      <w:pPr>
        <w:spacing w:line="257" w:lineRule="auto"/>
        <w:rPr>
          <w:rFonts w:ascii="Aptos" w:eastAsia="Aptos" w:hAnsi="Aptos" w:cs="Aptos"/>
          <w:sz w:val="22"/>
          <w:szCs w:val="22"/>
        </w:rPr>
      </w:pPr>
      <w:r w:rsidRPr="45451EA8">
        <w:rPr>
          <w:rFonts w:ascii="Aptos" w:eastAsia="Aptos" w:hAnsi="Aptos" w:cs="Aptos"/>
          <w:sz w:val="22"/>
          <w:szCs w:val="22"/>
        </w:rPr>
        <w:t>Overcoming these barriers will require joint workforce planning between NHS England, ICBs, and local authorities; improved data on the combined health and social care workforce; and investment in recruitment, retention, and continuous professional development for social workers</w:t>
      </w:r>
      <w:r w:rsidR="55390A66" w:rsidRPr="45451EA8">
        <w:rPr>
          <w:rFonts w:ascii="Aptos" w:eastAsia="Aptos" w:hAnsi="Aptos" w:cs="Aptos"/>
          <w:sz w:val="22"/>
          <w:szCs w:val="22"/>
        </w:rPr>
        <w:t xml:space="preserve">, along with support to enable career progression. </w:t>
      </w:r>
      <w:r w:rsidRPr="45451EA8">
        <w:rPr>
          <w:rFonts w:ascii="Aptos" w:eastAsia="Aptos" w:hAnsi="Aptos" w:cs="Aptos"/>
          <w:sz w:val="22"/>
          <w:szCs w:val="22"/>
        </w:rPr>
        <w:t xml:space="preserve"> The workforce must also be supported through clear ethical and professional frameworks to ensure that digital transformation and new technologies enhance, rather than constrain, professional judgement.</w:t>
      </w:r>
    </w:p>
    <w:p w14:paraId="081BF15A" w14:textId="64749F98" w:rsidR="000C442B" w:rsidRDefault="000C442B" w:rsidP="45451EA8">
      <w:pPr>
        <w:spacing w:line="257" w:lineRule="auto"/>
        <w:rPr>
          <w:rFonts w:ascii="Aptos" w:eastAsia="Aptos" w:hAnsi="Aptos" w:cs="Aptos"/>
          <w:b/>
          <w:bCs/>
          <w:sz w:val="22"/>
          <w:szCs w:val="22"/>
        </w:rPr>
      </w:pPr>
    </w:p>
    <w:p w14:paraId="5C36D617" w14:textId="086176A9" w:rsidR="00914DCE" w:rsidRDefault="71B5DF75" w:rsidP="20D9E43C">
      <w:pPr>
        <w:spacing w:line="257" w:lineRule="auto"/>
        <w:rPr>
          <w:rFonts w:ascii="Aptos" w:eastAsia="Aptos" w:hAnsi="Aptos" w:cs="Aptos"/>
          <w:b/>
          <w:bCs/>
          <w:sz w:val="22"/>
          <w:szCs w:val="22"/>
        </w:rPr>
      </w:pPr>
      <w:r w:rsidRPr="45451EA8">
        <w:rPr>
          <w:rFonts w:ascii="Aptos" w:eastAsia="Aptos" w:hAnsi="Aptos" w:cs="Aptos"/>
          <w:b/>
          <w:bCs/>
          <w:sz w:val="22"/>
          <w:szCs w:val="22"/>
        </w:rPr>
        <w:t>Summary of key points and recommendations</w:t>
      </w:r>
    </w:p>
    <w:p w14:paraId="3F357EED" w14:textId="77777777" w:rsidR="00914DCE" w:rsidRPr="00914DCE" w:rsidRDefault="71B5DF75" w:rsidP="00914DCE">
      <w:pPr>
        <w:spacing w:line="257" w:lineRule="auto"/>
        <w:rPr>
          <w:rFonts w:ascii="Aptos" w:eastAsia="Aptos" w:hAnsi="Aptos" w:cs="Aptos"/>
          <w:b/>
          <w:bCs/>
          <w:sz w:val="22"/>
          <w:szCs w:val="22"/>
        </w:rPr>
      </w:pPr>
      <w:r w:rsidRPr="45451EA8">
        <w:rPr>
          <w:rFonts w:ascii="Aptos" w:eastAsia="Aptos" w:hAnsi="Aptos" w:cs="Aptos"/>
          <w:b/>
          <w:bCs/>
          <w:sz w:val="22"/>
          <w:szCs w:val="22"/>
        </w:rPr>
        <w:t>Digital Initiatives and Workforce Capacity</w:t>
      </w:r>
    </w:p>
    <w:p w14:paraId="02532D75" w14:textId="77777777" w:rsidR="00914DCE" w:rsidRPr="00914DCE" w:rsidRDefault="71B5DF75" w:rsidP="00914DCE">
      <w:pPr>
        <w:numPr>
          <w:ilvl w:val="0"/>
          <w:numId w:val="7"/>
        </w:numPr>
        <w:spacing w:line="257" w:lineRule="auto"/>
        <w:rPr>
          <w:rFonts w:ascii="Aptos" w:eastAsia="Aptos" w:hAnsi="Aptos" w:cs="Aptos"/>
          <w:sz w:val="22"/>
          <w:szCs w:val="22"/>
        </w:rPr>
      </w:pPr>
      <w:r w:rsidRPr="45451EA8">
        <w:rPr>
          <w:rFonts w:ascii="Aptos" w:eastAsia="Aptos" w:hAnsi="Aptos" w:cs="Aptos"/>
          <w:sz w:val="22"/>
          <w:szCs w:val="22"/>
        </w:rPr>
        <w:t>Invest in interoperable and user-friendly digital systems that connect health and social care, reduce duplication, and free time for person-centred work.</w:t>
      </w:r>
    </w:p>
    <w:p w14:paraId="4C038F6F" w14:textId="77777777" w:rsidR="00914DCE" w:rsidRPr="00914DCE" w:rsidRDefault="71B5DF75" w:rsidP="00914DCE">
      <w:pPr>
        <w:numPr>
          <w:ilvl w:val="0"/>
          <w:numId w:val="7"/>
        </w:numPr>
        <w:spacing w:line="257" w:lineRule="auto"/>
        <w:rPr>
          <w:rFonts w:ascii="Aptos" w:eastAsia="Aptos" w:hAnsi="Aptos" w:cs="Aptos"/>
          <w:sz w:val="22"/>
          <w:szCs w:val="22"/>
        </w:rPr>
      </w:pPr>
      <w:r w:rsidRPr="45451EA8">
        <w:rPr>
          <w:rFonts w:ascii="Aptos" w:eastAsia="Aptos" w:hAnsi="Aptos" w:cs="Aptos"/>
          <w:sz w:val="22"/>
          <w:szCs w:val="22"/>
        </w:rPr>
        <w:t>Ensure digital transformation supports, rather than replaces, the human relationships at the heart of social work.</w:t>
      </w:r>
    </w:p>
    <w:p w14:paraId="3FA27C6E" w14:textId="77777777" w:rsidR="00914DCE" w:rsidRPr="00914DCE" w:rsidRDefault="71B5DF75" w:rsidP="00914DCE">
      <w:pPr>
        <w:numPr>
          <w:ilvl w:val="0"/>
          <w:numId w:val="7"/>
        </w:numPr>
        <w:spacing w:line="257" w:lineRule="auto"/>
        <w:rPr>
          <w:rFonts w:ascii="Aptos" w:eastAsia="Aptos" w:hAnsi="Aptos" w:cs="Aptos"/>
          <w:sz w:val="22"/>
          <w:szCs w:val="22"/>
        </w:rPr>
      </w:pPr>
      <w:r w:rsidRPr="45451EA8">
        <w:rPr>
          <w:rFonts w:ascii="Aptos" w:eastAsia="Aptos" w:hAnsi="Aptos" w:cs="Aptos"/>
          <w:sz w:val="22"/>
          <w:szCs w:val="22"/>
        </w:rPr>
        <w:t>Provide all staff with training in digital literacy, ethics, and data protection to use technology confidently and responsibly.</w:t>
      </w:r>
    </w:p>
    <w:p w14:paraId="578C500A" w14:textId="77777777" w:rsidR="00914DCE" w:rsidRPr="00914DCE" w:rsidRDefault="71B5DF75" w:rsidP="00914DCE">
      <w:pPr>
        <w:numPr>
          <w:ilvl w:val="0"/>
          <w:numId w:val="7"/>
        </w:numPr>
        <w:spacing w:line="257" w:lineRule="auto"/>
        <w:rPr>
          <w:rFonts w:ascii="Aptos" w:eastAsia="Aptos" w:hAnsi="Aptos" w:cs="Aptos"/>
          <w:sz w:val="22"/>
          <w:szCs w:val="22"/>
        </w:rPr>
      </w:pPr>
      <w:r w:rsidRPr="45451EA8">
        <w:rPr>
          <w:rFonts w:ascii="Aptos" w:eastAsia="Aptos" w:hAnsi="Aptos" w:cs="Aptos"/>
          <w:sz w:val="22"/>
          <w:szCs w:val="22"/>
        </w:rPr>
        <w:lastRenderedPageBreak/>
        <w:t>Address digital exclusion by supporting people who lack access or confidence in using technology, ensuring equitable participation in digital health and care.</w:t>
      </w:r>
    </w:p>
    <w:p w14:paraId="3CE785CC" w14:textId="77777777" w:rsidR="00914DCE" w:rsidRPr="00914DCE" w:rsidRDefault="71B5DF75" w:rsidP="00914DCE">
      <w:pPr>
        <w:spacing w:line="257" w:lineRule="auto"/>
        <w:rPr>
          <w:rFonts w:ascii="Aptos" w:eastAsia="Aptos" w:hAnsi="Aptos" w:cs="Aptos"/>
          <w:b/>
          <w:bCs/>
          <w:sz w:val="22"/>
          <w:szCs w:val="22"/>
        </w:rPr>
      </w:pPr>
      <w:r w:rsidRPr="45451EA8">
        <w:rPr>
          <w:rFonts w:ascii="Aptos" w:eastAsia="Aptos" w:hAnsi="Aptos" w:cs="Aptos"/>
          <w:b/>
          <w:bCs/>
          <w:sz w:val="22"/>
          <w:szCs w:val="22"/>
        </w:rPr>
        <w:t>Shifting Care from Hospitals to Communities</w:t>
      </w:r>
    </w:p>
    <w:p w14:paraId="1904A7BF" w14:textId="77777777" w:rsidR="00914DCE" w:rsidRPr="00914DCE" w:rsidRDefault="71B5DF75" w:rsidP="00914DCE">
      <w:pPr>
        <w:numPr>
          <w:ilvl w:val="0"/>
          <w:numId w:val="8"/>
        </w:numPr>
        <w:spacing w:line="257" w:lineRule="auto"/>
        <w:rPr>
          <w:rFonts w:ascii="Aptos" w:eastAsia="Aptos" w:hAnsi="Aptos" w:cs="Aptos"/>
          <w:sz w:val="22"/>
          <w:szCs w:val="22"/>
        </w:rPr>
      </w:pPr>
      <w:r w:rsidRPr="45451EA8">
        <w:rPr>
          <w:rFonts w:ascii="Aptos" w:eastAsia="Aptos" w:hAnsi="Aptos" w:cs="Aptos"/>
          <w:sz w:val="22"/>
          <w:szCs w:val="22"/>
        </w:rPr>
        <w:t>Embed social workers within community, primary care, and acute settings to strengthen continuity of care and prevent unnecessary hospital admissions.</w:t>
      </w:r>
    </w:p>
    <w:p w14:paraId="62A40C8C" w14:textId="77777777" w:rsidR="00914DCE" w:rsidRPr="00914DCE" w:rsidRDefault="71B5DF75" w:rsidP="00914DCE">
      <w:pPr>
        <w:numPr>
          <w:ilvl w:val="0"/>
          <w:numId w:val="8"/>
        </w:numPr>
        <w:spacing w:line="257" w:lineRule="auto"/>
        <w:rPr>
          <w:rFonts w:ascii="Aptos" w:eastAsia="Aptos" w:hAnsi="Aptos" w:cs="Aptos"/>
          <w:sz w:val="22"/>
          <w:szCs w:val="22"/>
        </w:rPr>
      </w:pPr>
      <w:r w:rsidRPr="45451EA8">
        <w:rPr>
          <w:rFonts w:ascii="Aptos" w:eastAsia="Aptos" w:hAnsi="Aptos" w:cs="Aptos"/>
          <w:sz w:val="22"/>
          <w:szCs w:val="22"/>
        </w:rPr>
        <w:t>Recognise social work as a central, preventative profession rather than a mechanism for “relieving bed blocking.”</w:t>
      </w:r>
    </w:p>
    <w:p w14:paraId="4A823F9C" w14:textId="77777777" w:rsidR="00914DCE" w:rsidRPr="00914DCE" w:rsidRDefault="71B5DF75" w:rsidP="00914DCE">
      <w:pPr>
        <w:numPr>
          <w:ilvl w:val="0"/>
          <w:numId w:val="8"/>
        </w:numPr>
        <w:spacing w:line="257" w:lineRule="auto"/>
        <w:rPr>
          <w:rFonts w:ascii="Aptos" w:eastAsia="Aptos" w:hAnsi="Aptos" w:cs="Aptos"/>
          <w:sz w:val="22"/>
          <w:szCs w:val="22"/>
        </w:rPr>
      </w:pPr>
      <w:r w:rsidRPr="45451EA8">
        <w:rPr>
          <w:rFonts w:ascii="Aptos" w:eastAsia="Aptos" w:hAnsi="Aptos" w:cs="Aptos"/>
          <w:sz w:val="22"/>
          <w:szCs w:val="22"/>
        </w:rPr>
        <w:t>Align commissioning between health and social care to enable properly resourced, integrated community provision.</w:t>
      </w:r>
    </w:p>
    <w:p w14:paraId="01CF1AF8" w14:textId="77777777" w:rsidR="00914DCE" w:rsidRPr="00914DCE" w:rsidRDefault="71B5DF75" w:rsidP="00914DCE">
      <w:pPr>
        <w:numPr>
          <w:ilvl w:val="0"/>
          <w:numId w:val="8"/>
        </w:numPr>
        <w:spacing w:line="257" w:lineRule="auto"/>
        <w:rPr>
          <w:rFonts w:ascii="Aptos" w:eastAsia="Aptos" w:hAnsi="Aptos" w:cs="Aptos"/>
          <w:sz w:val="22"/>
          <w:szCs w:val="22"/>
        </w:rPr>
      </w:pPr>
      <w:r w:rsidRPr="45451EA8">
        <w:rPr>
          <w:rFonts w:ascii="Aptos" w:eastAsia="Aptos" w:hAnsi="Aptos" w:cs="Aptos"/>
          <w:sz w:val="22"/>
          <w:szCs w:val="22"/>
        </w:rPr>
        <w:t>Ensure parity of esteem between social work and other health professions, with equal pay, professional development, and leadership opportunities.</w:t>
      </w:r>
    </w:p>
    <w:p w14:paraId="014A40AA" w14:textId="77777777" w:rsidR="00914DCE" w:rsidRPr="00914DCE" w:rsidRDefault="71B5DF75" w:rsidP="00914DCE">
      <w:pPr>
        <w:numPr>
          <w:ilvl w:val="0"/>
          <w:numId w:val="8"/>
        </w:numPr>
        <w:spacing w:line="257" w:lineRule="auto"/>
        <w:rPr>
          <w:rFonts w:ascii="Aptos" w:eastAsia="Aptos" w:hAnsi="Aptos" w:cs="Aptos"/>
          <w:sz w:val="22"/>
          <w:szCs w:val="22"/>
        </w:rPr>
      </w:pPr>
      <w:r w:rsidRPr="45451EA8">
        <w:rPr>
          <w:rFonts w:ascii="Aptos" w:eastAsia="Aptos" w:hAnsi="Aptos" w:cs="Aptos"/>
          <w:sz w:val="22"/>
          <w:szCs w:val="22"/>
        </w:rPr>
        <w:t>Co-locate health and social care teams within Integrated Care Systems (ICSs) and Integrated Care Boards (ICBs) to enable earlier, collaborative intervention.</w:t>
      </w:r>
    </w:p>
    <w:p w14:paraId="189F5F74" w14:textId="77777777" w:rsidR="00914DCE" w:rsidRPr="00914DCE" w:rsidRDefault="71B5DF75" w:rsidP="00914DCE">
      <w:pPr>
        <w:spacing w:line="257" w:lineRule="auto"/>
        <w:rPr>
          <w:rFonts w:ascii="Aptos" w:eastAsia="Aptos" w:hAnsi="Aptos" w:cs="Aptos"/>
          <w:b/>
          <w:bCs/>
          <w:sz w:val="22"/>
          <w:szCs w:val="22"/>
        </w:rPr>
      </w:pPr>
      <w:r w:rsidRPr="45451EA8">
        <w:rPr>
          <w:rFonts w:ascii="Aptos" w:eastAsia="Aptos" w:hAnsi="Aptos" w:cs="Aptos"/>
          <w:b/>
          <w:bCs/>
          <w:sz w:val="22"/>
          <w:szCs w:val="22"/>
        </w:rPr>
        <w:t>From Sickness to Prevention</w:t>
      </w:r>
    </w:p>
    <w:p w14:paraId="351D9743" w14:textId="77777777" w:rsidR="00914DCE" w:rsidRPr="00914DCE" w:rsidRDefault="71B5DF75" w:rsidP="00914DCE">
      <w:pPr>
        <w:numPr>
          <w:ilvl w:val="0"/>
          <w:numId w:val="9"/>
        </w:numPr>
        <w:spacing w:line="257" w:lineRule="auto"/>
        <w:rPr>
          <w:rFonts w:ascii="Aptos" w:eastAsia="Aptos" w:hAnsi="Aptos" w:cs="Aptos"/>
          <w:sz w:val="22"/>
          <w:szCs w:val="22"/>
        </w:rPr>
      </w:pPr>
      <w:r w:rsidRPr="45451EA8">
        <w:rPr>
          <w:rFonts w:ascii="Aptos" w:eastAsia="Aptos" w:hAnsi="Aptos" w:cs="Aptos"/>
          <w:sz w:val="22"/>
          <w:szCs w:val="22"/>
        </w:rPr>
        <w:t>Locate social workers within communities as part of the social fabric, working alongside primary care, education, and voluntary sector partners.</w:t>
      </w:r>
    </w:p>
    <w:p w14:paraId="4B40BFE9" w14:textId="77777777" w:rsidR="00914DCE" w:rsidRPr="00914DCE" w:rsidRDefault="71B5DF75" w:rsidP="00914DCE">
      <w:pPr>
        <w:numPr>
          <w:ilvl w:val="0"/>
          <w:numId w:val="9"/>
        </w:numPr>
        <w:spacing w:line="257" w:lineRule="auto"/>
        <w:rPr>
          <w:rFonts w:ascii="Aptos" w:eastAsia="Aptos" w:hAnsi="Aptos" w:cs="Aptos"/>
          <w:sz w:val="22"/>
          <w:szCs w:val="22"/>
        </w:rPr>
      </w:pPr>
      <w:r w:rsidRPr="45451EA8">
        <w:rPr>
          <w:rFonts w:ascii="Aptos" w:eastAsia="Aptos" w:hAnsi="Aptos" w:cs="Aptos"/>
          <w:sz w:val="22"/>
          <w:szCs w:val="22"/>
        </w:rPr>
        <w:t>Develop clear practice pathways that allow social workers to move fluidly between community, primary care, and hospital settings.</w:t>
      </w:r>
    </w:p>
    <w:p w14:paraId="0E0F2025" w14:textId="77777777" w:rsidR="00914DCE" w:rsidRPr="00914DCE" w:rsidRDefault="71B5DF75" w:rsidP="00914DCE">
      <w:pPr>
        <w:numPr>
          <w:ilvl w:val="0"/>
          <w:numId w:val="9"/>
        </w:numPr>
        <w:spacing w:line="257" w:lineRule="auto"/>
        <w:rPr>
          <w:rFonts w:ascii="Aptos" w:eastAsia="Aptos" w:hAnsi="Aptos" w:cs="Aptos"/>
          <w:sz w:val="22"/>
          <w:szCs w:val="22"/>
        </w:rPr>
      </w:pPr>
      <w:r w:rsidRPr="45451EA8">
        <w:rPr>
          <w:rFonts w:ascii="Aptos" w:eastAsia="Aptos" w:hAnsi="Aptos" w:cs="Aptos"/>
          <w:sz w:val="22"/>
          <w:szCs w:val="22"/>
        </w:rPr>
        <w:t>Embed social workers within public health and primary care teams to strengthen early identification, holistic assessment, and population wellbeing.</w:t>
      </w:r>
    </w:p>
    <w:p w14:paraId="7550DE64" w14:textId="77777777" w:rsidR="00914DCE" w:rsidRPr="00914DCE" w:rsidRDefault="71B5DF75" w:rsidP="00914DCE">
      <w:pPr>
        <w:numPr>
          <w:ilvl w:val="0"/>
          <w:numId w:val="9"/>
        </w:numPr>
        <w:spacing w:line="257" w:lineRule="auto"/>
        <w:rPr>
          <w:rFonts w:ascii="Aptos" w:eastAsia="Aptos" w:hAnsi="Aptos" w:cs="Aptos"/>
          <w:sz w:val="22"/>
          <w:szCs w:val="22"/>
        </w:rPr>
      </w:pPr>
      <w:r w:rsidRPr="45451EA8">
        <w:rPr>
          <w:rFonts w:ascii="Aptos" w:eastAsia="Aptos" w:hAnsi="Aptos" w:cs="Aptos"/>
          <w:sz w:val="22"/>
          <w:szCs w:val="22"/>
        </w:rPr>
        <w:t>Invest in social work capacity to shift from crisis-driven to preventative, relationship-based models of care.</w:t>
      </w:r>
    </w:p>
    <w:p w14:paraId="3A708FF3" w14:textId="77777777" w:rsidR="00914DCE" w:rsidRPr="00914DCE" w:rsidRDefault="71B5DF75" w:rsidP="00914DCE">
      <w:pPr>
        <w:numPr>
          <w:ilvl w:val="0"/>
          <w:numId w:val="9"/>
        </w:numPr>
        <w:spacing w:line="257" w:lineRule="auto"/>
        <w:rPr>
          <w:rFonts w:ascii="Aptos" w:eastAsia="Aptos" w:hAnsi="Aptos" w:cs="Aptos"/>
          <w:sz w:val="22"/>
          <w:szCs w:val="22"/>
        </w:rPr>
      </w:pPr>
      <w:r w:rsidRPr="45451EA8">
        <w:rPr>
          <w:rFonts w:ascii="Aptos" w:eastAsia="Aptos" w:hAnsi="Aptos" w:cs="Aptos"/>
          <w:sz w:val="22"/>
          <w:szCs w:val="22"/>
        </w:rPr>
        <w:t>Promote adherence to legal duties and neurodiversity-affirmative practice to improve outcomes and reduce inequalities for people with learning disabilities and autism.</w:t>
      </w:r>
    </w:p>
    <w:p w14:paraId="0B4F2D3B" w14:textId="77777777" w:rsidR="00914DCE" w:rsidRPr="00914DCE" w:rsidRDefault="71B5DF75" w:rsidP="00914DCE">
      <w:pPr>
        <w:spacing w:line="257" w:lineRule="auto"/>
        <w:rPr>
          <w:rFonts w:ascii="Aptos" w:eastAsia="Aptos" w:hAnsi="Aptos" w:cs="Aptos"/>
          <w:b/>
          <w:bCs/>
          <w:sz w:val="22"/>
          <w:szCs w:val="22"/>
        </w:rPr>
      </w:pPr>
      <w:r w:rsidRPr="45451EA8">
        <w:rPr>
          <w:rFonts w:ascii="Aptos" w:eastAsia="Aptos" w:hAnsi="Aptos" w:cs="Aptos"/>
          <w:b/>
          <w:bCs/>
          <w:sz w:val="22"/>
          <w:szCs w:val="22"/>
        </w:rPr>
        <w:t>Roles, Skills, and Professional Contribution</w:t>
      </w:r>
    </w:p>
    <w:p w14:paraId="7786DCA3" w14:textId="77777777" w:rsidR="00914DCE" w:rsidRPr="00914DCE" w:rsidRDefault="71B5DF75" w:rsidP="00914DCE">
      <w:pPr>
        <w:numPr>
          <w:ilvl w:val="0"/>
          <w:numId w:val="10"/>
        </w:numPr>
        <w:spacing w:line="257" w:lineRule="auto"/>
        <w:rPr>
          <w:rFonts w:ascii="Aptos" w:eastAsia="Aptos" w:hAnsi="Aptos" w:cs="Aptos"/>
          <w:sz w:val="22"/>
          <w:szCs w:val="22"/>
        </w:rPr>
      </w:pPr>
      <w:r w:rsidRPr="45451EA8">
        <w:rPr>
          <w:rFonts w:ascii="Aptos" w:eastAsia="Aptos" w:hAnsi="Aptos" w:cs="Aptos"/>
          <w:sz w:val="22"/>
          <w:szCs w:val="22"/>
        </w:rPr>
        <w:t>Recognise the distinct expertise of social workers in rights-based, ethical, and relational practice as critical to achieving the NHS’s three shifts.</w:t>
      </w:r>
    </w:p>
    <w:p w14:paraId="0BCB5FDD" w14:textId="77777777" w:rsidR="00914DCE" w:rsidRPr="00914DCE" w:rsidRDefault="71B5DF75" w:rsidP="00914DCE">
      <w:pPr>
        <w:numPr>
          <w:ilvl w:val="0"/>
          <w:numId w:val="10"/>
        </w:numPr>
        <w:spacing w:line="257" w:lineRule="auto"/>
        <w:rPr>
          <w:rFonts w:ascii="Aptos" w:eastAsia="Aptos" w:hAnsi="Aptos" w:cs="Aptos"/>
          <w:sz w:val="22"/>
          <w:szCs w:val="22"/>
        </w:rPr>
      </w:pPr>
      <w:r w:rsidRPr="45451EA8">
        <w:rPr>
          <w:rFonts w:ascii="Aptos" w:eastAsia="Aptos" w:hAnsi="Aptos" w:cs="Aptos"/>
          <w:sz w:val="22"/>
          <w:szCs w:val="22"/>
        </w:rPr>
        <w:t>Integrate social work leadership within workforce planning, training, and policy development.</w:t>
      </w:r>
    </w:p>
    <w:p w14:paraId="14296480" w14:textId="77777777" w:rsidR="00914DCE" w:rsidRPr="00914DCE" w:rsidRDefault="71B5DF75" w:rsidP="00914DCE">
      <w:pPr>
        <w:numPr>
          <w:ilvl w:val="0"/>
          <w:numId w:val="10"/>
        </w:numPr>
        <w:spacing w:line="257" w:lineRule="auto"/>
        <w:rPr>
          <w:rFonts w:ascii="Aptos" w:eastAsia="Aptos" w:hAnsi="Aptos" w:cs="Aptos"/>
          <w:sz w:val="22"/>
          <w:szCs w:val="22"/>
        </w:rPr>
      </w:pPr>
      <w:r w:rsidRPr="45451EA8">
        <w:rPr>
          <w:rFonts w:ascii="Aptos" w:eastAsia="Aptos" w:hAnsi="Aptos" w:cs="Aptos"/>
          <w:sz w:val="22"/>
          <w:szCs w:val="22"/>
        </w:rPr>
        <w:t>Ensure multidisciplinary teams value social work’s contribution to risk management, discharge planning, and safeguarding through transparent, person-centred decision-making.</w:t>
      </w:r>
    </w:p>
    <w:p w14:paraId="1301335B" w14:textId="77777777" w:rsidR="00914DCE" w:rsidRPr="00914DCE" w:rsidRDefault="71B5DF75" w:rsidP="00914DCE">
      <w:pPr>
        <w:spacing w:line="257" w:lineRule="auto"/>
        <w:rPr>
          <w:rFonts w:ascii="Aptos" w:eastAsia="Aptos" w:hAnsi="Aptos" w:cs="Aptos"/>
          <w:b/>
          <w:bCs/>
          <w:sz w:val="22"/>
          <w:szCs w:val="22"/>
        </w:rPr>
      </w:pPr>
      <w:r w:rsidRPr="45451EA8">
        <w:rPr>
          <w:rFonts w:ascii="Aptos" w:eastAsia="Aptos" w:hAnsi="Aptos" w:cs="Aptos"/>
          <w:b/>
          <w:bCs/>
          <w:sz w:val="22"/>
          <w:szCs w:val="22"/>
        </w:rPr>
        <w:t>Barriers and Opportunities for Workforce Reform</w:t>
      </w:r>
    </w:p>
    <w:p w14:paraId="301BEE05" w14:textId="77777777" w:rsidR="00914DCE" w:rsidRPr="00914DCE" w:rsidRDefault="71B5DF75" w:rsidP="00914DCE">
      <w:pPr>
        <w:numPr>
          <w:ilvl w:val="0"/>
          <w:numId w:val="11"/>
        </w:numPr>
        <w:spacing w:line="257" w:lineRule="auto"/>
        <w:rPr>
          <w:rFonts w:ascii="Aptos" w:eastAsia="Aptos" w:hAnsi="Aptos" w:cs="Aptos"/>
          <w:sz w:val="22"/>
          <w:szCs w:val="22"/>
        </w:rPr>
      </w:pPr>
      <w:r w:rsidRPr="45451EA8">
        <w:rPr>
          <w:rFonts w:ascii="Aptos" w:eastAsia="Aptos" w:hAnsi="Aptos" w:cs="Aptos"/>
          <w:sz w:val="22"/>
          <w:szCs w:val="22"/>
        </w:rPr>
        <w:t>Establish a joint, long-term workforce strategy between NHS England, ICBs, and local authorities to end reactive, profession-specific recruitment cycles.</w:t>
      </w:r>
    </w:p>
    <w:p w14:paraId="3A8705FE" w14:textId="77777777" w:rsidR="00914DCE" w:rsidRPr="00914DCE" w:rsidRDefault="71B5DF75" w:rsidP="00914DCE">
      <w:pPr>
        <w:numPr>
          <w:ilvl w:val="0"/>
          <w:numId w:val="11"/>
        </w:numPr>
        <w:spacing w:line="257" w:lineRule="auto"/>
        <w:rPr>
          <w:rFonts w:ascii="Aptos" w:eastAsia="Aptos" w:hAnsi="Aptos" w:cs="Aptos"/>
          <w:sz w:val="22"/>
          <w:szCs w:val="22"/>
        </w:rPr>
      </w:pPr>
      <w:r w:rsidRPr="45451EA8">
        <w:rPr>
          <w:rFonts w:ascii="Aptos" w:eastAsia="Aptos" w:hAnsi="Aptos" w:cs="Aptos"/>
          <w:sz w:val="22"/>
          <w:szCs w:val="22"/>
        </w:rPr>
        <w:t>Improve workforce data and planning across health and social care to identify gaps and target investment effectively.</w:t>
      </w:r>
    </w:p>
    <w:p w14:paraId="68FDA262" w14:textId="77777777" w:rsidR="00914DCE" w:rsidRPr="00914DCE" w:rsidRDefault="71B5DF75" w:rsidP="00914DCE">
      <w:pPr>
        <w:numPr>
          <w:ilvl w:val="0"/>
          <w:numId w:val="11"/>
        </w:numPr>
        <w:spacing w:line="257" w:lineRule="auto"/>
        <w:rPr>
          <w:rFonts w:ascii="Aptos" w:eastAsia="Aptos" w:hAnsi="Aptos" w:cs="Aptos"/>
          <w:sz w:val="22"/>
          <w:szCs w:val="22"/>
        </w:rPr>
      </w:pPr>
      <w:r w:rsidRPr="45451EA8">
        <w:rPr>
          <w:rFonts w:ascii="Aptos" w:eastAsia="Aptos" w:hAnsi="Aptos" w:cs="Aptos"/>
          <w:sz w:val="22"/>
          <w:szCs w:val="22"/>
        </w:rPr>
        <w:lastRenderedPageBreak/>
        <w:t xml:space="preserve">Address </w:t>
      </w:r>
      <w:proofErr w:type="gramStart"/>
      <w:r w:rsidRPr="45451EA8">
        <w:rPr>
          <w:rFonts w:ascii="Aptos" w:eastAsia="Aptos" w:hAnsi="Aptos" w:cs="Aptos"/>
          <w:sz w:val="22"/>
          <w:szCs w:val="22"/>
        </w:rPr>
        <w:t>pay</w:t>
      </w:r>
      <w:proofErr w:type="gramEnd"/>
      <w:r w:rsidRPr="45451EA8">
        <w:rPr>
          <w:rFonts w:ascii="Aptos" w:eastAsia="Aptos" w:hAnsi="Aptos" w:cs="Aptos"/>
          <w:sz w:val="22"/>
          <w:szCs w:val="22"/>
        </w:rPr>
        <w:t xml:space="preserve"> disparities and ensure equitable access to professional development and progression across all settings.</w:t>
      </w:r>
    </w:p>
    <w:p w14:paraId="654B83E2" w14:textId="77777777" w:rsidR="00914DCE" w:rsidRPr="00914DCE" w:rsidRDefault="71B5DF75" w:rsidP="00914DCE">
      <w:pPr>
        <w:numPr>
          <w:ilvl w:val="0"/>
          <w:numId w:val="11"/>
        </w:numPr>
        <w:spacing w:line="257" w:lineRule="auto"/>
        <w:rPr>
          <w:rFonts w:ascii="Aptos" w:eastAsia="Aptos" w:hAnsi="Aptos" w:cs="Aptos"/>
          <w:sz w:val="22"/>
          <w:szCs w:val="22"/>
        </w:rPr>
      </w:pPr>
      <w:r w:rsidRPr="45451EA8">
        <w:rPr>
          <w:rFonts w:ascii="Aptos" w:eastAsia="Aptos" w:hAnsi="Aptos" w:cs="Aptos"/>
          <w:sz w:val="22"/>
          <w:szCs w:val="22"/>
        </w:rPr>
        <w:t>Reform commissioning to align health and social care priorities, funding, and delivery models.</w:t>
      </w:r>
    </w:p>
    <w:p w14:paraId="6B6D9FA4" w14:textId="7311D6AA" w:rsidR="00914DCE" w:rsidRPr="00914DCE" w:rsidRDefault="71B5DF75" w:rsidP="45451EA8">
      <w:pPr>
        <w:numPr>
          <w:ilvl w:val="0"/>
          <w:numId w:val="11"/>
        </w:numPr>
        <w:spacing w:line="257" w:lineRule="auto"/>
        <w:rPr>
          <w:rFonts w:ascii="Aptos" w:eastAsia="Aptos" w:hAnsi="Aptos" w:cs="Aptos"/>
          <w:sz w:val="22"/>
          <w:szCs w:val="22"/>
        </w:rPr>
      </w:pPr>
      <w:r w:rsidRPr="45451EA8">
        <w:rPr>
          <w:rFonts w:ascii="Aptos" w:eastAsia="Aptos" w:hAnsi="Aptos" w:cs="Aptos"/>
          <w:sz w:val="22"/>
          <w:szCs w:val="22"/>
        </w:rPr>
        <w:t>Provide ethical and professional support to ensure technology enhances, not constrains, professional judgement and relationship-based practice.</w:t>
      </w:r>
    </w:p>
    <w:p w14:paraId="281913A6" w14:textId="1F495B0D" w:rsidR="664382B4" w:rsidRDefault="4A1D2570" w:rsidP="20D9E43C">
      <w:pPr>
        <w:spacing w:line="257" w:lineRule="auto"/>
      </w:pPr>
      <w:r w:rsidRPr="20D9E43C">
        <w:rPr>
          <w:rFonts w:ascii="Aptos" w:eastAsia="Aptos" w:hAnsi="Aptos" w:cs="Aptos"/>
          <w:sz w:val="22"/>
          <w:szCs w:val="22"/>
        </w:rPr>
        <w:t>The NHS 10-Year Workforce Plan presents an opportunity to create a genuinely integrated health and care workforce that recognises that good health is inseparable from good social care. Social workers are central to achieving this vision.</w:t>
      </w:r>
    </w:p>
    <w:p w14:paraId="6B161483" w14:textId="4DC92516" w:rsidR="664382B4" w:rsidRDefault="4A1D2570" w:rsidP="20D9E43C">
      <w:pPr>
        <w:spacing w:line="257" w:lineRule="auto"/>
      </w:pPr>
      <w:r w:rsidRPr="20D9E43C">
        <w:rPr>
          <w:rFonts w:ascii="Aptos" w:eastAsia="Aptos" w:hAnsi="Aptos" w:cs="Aptos"/>
          <w:sz w:val="22"/>
          <w:szCs w:val="22"/>
        </w:rPr>
        <w:t>Their contributions to prevention, community-based care, and digital inclusion should be fully embedded in workforce planning at every level. This includes recognition within national workforce strategies, parity of access to training and development, and inclusion in strategic leadership and decision-making.</w:t>
      </w:r>
    </w:p>
    <w:p w14:paraId="6E1B126A" w14:textId="72D5948A" w:rsidR="664382B4" w:rsidRDefault="4A1D2570" w:rsidP="20D9E43C">
      <w:pPr>
        <w:spacing w:line="257" w:lineRule="auto"/>
      </w:pPr>
      <w:r w:rsidRPr="20D9E43C">
        <w:rPr>
          <w:rFonts w:ascii="Aptos" w:eastAsia="Aptos" w:hAnsi="Aptos" w:cs="Aptos"/>
          <w:sz w:val="22"/>
          <w:szCs w:val="22"/>
        </w:rPr>
        <w:t>A workforce plan that fully incorporates social work will help to realise the NHS ambition for more local, preventative, and person-centred care, and will create a system that is not only clinically effective but also socially just and sustainable for the next decade and beyond.</w:t>
      </w:r>
    </w:p>
    <w:p w14:paraId="41019CE4" w14:textId="0CD69582" w:rsidR="664382B4" w:rsidRDefault="664382B4" w:rsidP="20D9E43C">
      <w:pPr>
        <w:spacing w:line="257" w:lineRule="auto"/>
        <w:rPr>
          <w:rFonts w:ascii="Aptos" w:eastAsia="Aptos" w:hAnsi="Aptos" w:cs="Aptos"/>
          <w:sz w:val="22"/>
          <w:szCs w:val="22"/>
        </w:rPr>
      </w:pPr>
    </w:p>
    <w:p w14:paraId="2F313F2A" w14:textId="14781953" w:rsidR="664382B4" w:rsidRDefault="664382B4"/>
    <w:sectPr w:rsidR="664382B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47DD" w14:textId="77777777" w:rsidR="000418F2" w:rsidRDefault="000418F2">
      <w:pPr>
        <w:spacing w:after="0" w:line="240" w:lineRule="auto"/>
      </w:pPr>
      <w:r>
        <w:separator/>
      </w:r>
    </w:p>
  </w:endnote>
  <w:endnote w:type="continuationSeparator" w:id="0">
    <w:p w14:paraId="45DDDD13" w14:textId="77777777" w:rsidR="000418F2" w:rsidRDefault="0004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F217" w14:textId="77777777" w:rsidR="000418F2" w:rsidRDefault="000418F2">
      <w:pPr>
        <w:spacing w:after="0" w:line="240" w:lineRule="auto"/>
      </w:pPr>
      <w:r>
        <w:separator/>
      </w:r>
    </w:p>
  </w:footnote>
  <w:footnote w:type="continuationSeparator" w:id="0">
    <w:p w14:paraId="03FD3863" w14:textId="77777777" w:rsidR="000418F2" w:rsidRDefault="000418F2">
      <w:pPr>
        <w:spacing w:after="0" w:line="240" w:lineRule="auto"/>
      </w:pPr>
      <w:r>
        <w:continuationSeparator/>
      </w:r>
    </w:p>
  </w:footnote>
  <w:footnote w:id="1">
    <w:p w14:paraId="1F81916E" w14:textId="7168BF33" w:rsidR="406E69E7" w:rsidRDefault="406E69E7" w:rsidP="45451EA8">
      <w:pPr>
        <w:pStyle w:val="FootnoteText"/>
        <w:spacing w:before="240" w:after="240"/>
        <w:ind w:left="600"/>
      </w:pPr>
      <w:r w:rsidRPr="406E69E7">
        <w:rPr>
          <w:rStyle w:val="FootnoteReference"/>
        </w:rPr>
        <w:footnoteRef/>
      </w:r>
      <w:r w:rsidR="45451EA8">
        <w:t xml:space="preserve"> </w:t>
      </w:r>
      <w:r w:rsidR="45451EA8" w:rsidRPr="406E69E7">
        <w:t>*NHSBN National Workforce census of Social Workers in Mental Health Services</w:t>
      </w:r>
    </w:p>
    <w:p w14:paraId="15E7BA91" w14:textId="40EAC80A" w:rsidR="406E69E7" w:rsidRDefault="406E69E7" w:rsidP="406E69E7">
      <w:pPr>
        <w:pStyle w:val="FootnoteText"/>
      </w:pPr>
    </w:p>
  </w:footnote>
  <w:footnote w:id="2">
    <w:p w14:paraId="1FD09D2B" w14:textId="2544FCCB" w:rsidR="55C4AFE2" w:rsidRDefault="55C4AFE2" w:rsidP="55C4AFE2">
      <w:pPr>
        <w:pStyle w:val="FootnoteText"/>
      </w:pPr>
      <w:r w:rsidRPr="55C4AFE2">
        <w:rPr>
          <w:rStyle w:val="FootnoteReference"/>
        </w:rPr>
        <w:footnoteRef/>
      </w:r>
      <w:r>
        <w:t xml:space="preserve"> </w:t>
      </w:r>
      <w:hyperlink r:id="rId1">
        <w:r w:rsidRPr="55C4AFE2">
          <w:rPr>
            <w:rStyle w:val="Hyperlink"/>
          </w:rPr>
          <w:t>Professional Capabilities Framework (PCF) | BASW</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E99"/>
    <w:multiLevelType w:val="hybridMultilevel"/>
    <w:tmpl w:val="F706449E"/>
    <w:lvl w:ilvl="0" w:tplc="F5D45728">
      <w:start w:val="1"/>
      <w:numFmt w:val="bullet"/>
      <w:lvlText w:val=""/>
      <w:lvlJc w:val="left"/>
      <w:pPr>
        <w:ind w:left="720" w:hanging="360"/>
      </w:pPr>
      <w:rPr>
        <w:rFonts w:ascii="Symbol" w:hAnsi="Symbol" w:hint="default"/>
      </w:rPr>
    </w:lvl>
    <w:lvl w:ilvl="1" w:tplc="EE1E79F4">
      <w:start w:val="1"/>
      <w:numFmt w:val="bullet"/>
      <w:lvlText w:val="o"/>
      <w:lvlJc w:val="left"/>
      <w:pPr>
        <w:ind w:left="1440" w:hanging="360"/>
      </w:pPr>
      <w:rPr>
        <w:rFonts w:ascii="Courier New" w:hAnsi="Courier New" w:hint="default"/>
      </w:rPr>
    </w:lvl>
    <w:lvl w:ilvl="2" w:tplc="08B0ABFA">
      <w:start w:val="1"/>
      <w:numFmt w:val="bullet"/>
      <w:lvlText w:val=""/>
      <w:lvlJc w:val="left"/>
      <w:pPr>
        <w:ind w:left="2160" w:hanging="360"/>
      </w:pPr>
      <w:rPr>
        <w:rFonts w:ascii="Wingdings" w:hAnsi="Wingdings" w:hint="default"/>
      </w:rPr>
    </w:lvl>
    <w:lvl w:ilvl="3" w:tplc="05946200">
      <w:start w:val="1"/>
      <w:numFmt w:val="bullet"/>
      <w:lvlText w:val=""/>
      <w:lvlJc w:val="left"/>
      <w:pPr>
        <w:ind w:left="2880" w:hanging="360"/>
      </w:pPr>
      <w:rPr>
        <w:rFonts w:ascii="Symbol" w:hAnsi="Symbol" w:hint="default"/>
      </w:rPr>
    </w:lvl>
    <w:lvl w:ilvl="4" w:tplc="1CFA0D5C">
      <w:start w:val="1"/>
      <w:numFmt w:val="bullet"/>
      <w:lvlText w:val="o"/>
      <w:lvlJc w:val="left"/>
      <w:pPr>
        <w:ind w:left="3600" w:hanging="360"/>
      </w:pPr>
      <w:rPr>
        <w:rFonts w:ascii="Courier New" w:hAnsi="Courier New" w:hint="default"/>
      </w:rPr>
    </w:lvl>
    <w:lvl w:ilvl="5" w:tplc="F0744C80">
      <w:start w:val="1"/>
      <w:numFmt w:val="bullet"/>
      <w:lvlText w:val=""/>
      <w:lvlJc w:val="left"/>
      <w:pPr>
        <w:ind w:left="4320" w:hanging="360"/>
      </w:pPr>
      <w:rPr>
        <w:rFonts w:ascii="Wingdings" w:hAnsi="Wingdings" w:hint="default"/>
      </w:rPr>
    </w:lvl>
    <w:lvl w:ilvl="6" w:tplc="55EA8D50">
      <w:start w:val="1"/>
      <w:numFmt w:val="bullet"/>
      <w:lvlText w:val=""/>
      <w:lvlJc w:val="left"/>
      <w:pPr>
        <w:ind w:left="5040" w:hanging="360"/>
      </w:pPr>
      <w:rPr>
        <w:rFonts w:ascii="Symbol" w:hAnsi="Symbol" w:hint="default"/>
      </w:rPr>
    </w:lvl>
    <w:lvl w:ilvl="7" w:tplc="B65EDF40">
      <w:start w:val="1"/>
      <w:numFmt w:val="bullet"/>
      <w:lvlText w:val="o"/>
      <w:lvlJc w:val="left"/>
      <w:pPr>
        <w:ind w:left="5760" w:hanging="360"/>
      </w:pPr>
      <w:rPr>
        <w:rFonts w:ascii="Courier New" w:hAnsi="Courier New" w:hint="default"/>
      </w:rPr>
    </w:lvl>
    <w:lvl w:ilvl="8" w:tplc="54DCFED2">
      <w:start w:val="1"/>
      <w:numFmt w:val="bullet"/>
      <w:lvlText w:val=""/>
      <w:lvlJc w:val="left"/>
      <w:pPr>
        <w:ind w:left="6480" w:hanging="360"/>
      </w:pPr>
      <w:rPr>
        <w:rFonts w:ascii="Wingdings" w:hAnsi="Wingdings" w:hint="default"/>
      </w:rPr>
    </w:lvl>
  </w:abstractNum>
  <w:abstractNum w:abstractNumId="1" w15:restartNumberingAfterBreak="0">
    <w:nsid w:val="03976771"/>
    <w:multiLevelType w:val="hybridMultilevel"/>
    <w:tmpl w:val="2DBE230A"/>
    <w:lvl w:ilvl="0" w:tplc="9FF6259C">
      <w:start w:val="1"/>
      <w:numFmt w:val="bullet"/>
      <w:lvlText w:val=""/>
      <w:lvlJc w:val="left"/>
      <w:pPr>
        <w:ind w:left="720" w:hanging="360"/>
      </w:pPr>
      <w:rPr>
        <w:rFonts w:ascii="Symbol" w:hAnsi="Symbol" w:hint="default"/>
      </w:rPr>
    </w:lvl>
    <w:lvl w:ilvl="1" w:tplc="198426B4">
      <w:start w:val="1"/>
      <w:numFmt w:val="bullet"/>
      <w:lvlText w:val="o"/>
      <w:lvlJc w:val="left"/>
      <w:pPr>
        <w:ind w:left="1440" w:hanging="360"/>
      </w:pPr>
      <w:rPr>
        <w:rFonts w:ascii="Courier New" w:hAnsi="Courier New" w:hint="default"/>
      </w:rPr>
    </w:lvl>
    <w:lvl w:ilvl="2" w:tplc="45403DE4">
      <w:start w:val="1"/>
      <w:numFmt w:val="bullet"/>
      <w:lvlText w:val=""/>
      <w:lvlJc w:val="left"/>
      <w:pPr>
        <w:ind w:left="2160" w:hanging="360"/>
      </w:pPr>
      <w:rPr>
        <w:rFonts w:ascii="Wingdings" w:hAnsi="Wingdings" w:hint="default"/>
      </w:rPr>
    </w:lvl>
    <w:lvl w:ilvl="3" w:tplc="AC30582E">
      <w:start w:val="1"/>
      <w:numFmt w:val="bullet"/>
      <w:lvlText w:val=""/>
      <w:lvlJc w:val="left"/>
      <w:pPr>
        <w:ind w:left="2880" w:hanging="360"/>
      </w:pPr>
      <w:rPr>
        <w:rFonts w:ascii="Symbol" w:hAnsi="Symbol" w:hint="default"/>
      </w:rPr>
    </w:lvl>
    <w:lvl w:ilvl="4" w:tplc="392217D6">
      <w:start w:val="1"/>
      <w:numFmt w:val="bullet"/>
      <w:lvlText w:val="o"/>
      <w:lvlJc w:val="left"/>
      <w:pPr>
        <w:ind w:left="3600" w:hanging="360"/>
      </w:pPr>
      <w:rPr>
        <w:rFonts w:ascii="Courier New" w:hAnsi="Courier New" w:hint="default"/>
      </w:rPr>
    </w:lvl>
    <w:lvl w:ilvl="5" w:tplc="E7AC4CAC">
      <w:start w:val="1"/>
      <w:numFmt w:val="bullet"/>
      <w:lvlText w:val=""/>
      <w:lvlJc w:val="left"/>
      <w:pPr>
        <w:ind w:left="4320" w:hanging="360"/>
      </w:pPr>
      <w:rPr>
        <w:rFonts w:ascii="Wingdings" w:hAnsi="Wingdings" w:hint="default"/>
      </w:rPr>
    </w:lvl>
    <w:lvl w:ilvl="6" w:tplc="D77EB2FA">
      <w:start w:val="1"/>
      <w:numFmt w:val="bullet"/>
      <w:lvlText w:val=""/>
      <w:lvlJc w:val="left"/>
      <w:pPr>
        <w:ind w:left="5040" w:hanging="360"/>
      </w:pPr>
      <w:rPr>
        <w:rFonts w:ascii="Symbol" w:hAnsi="Symbol" w:hint="default"/>
      </w:rPr>
    </w:lvl>
    <w:lvl w:ilvl="7" w:tplc="A4EC8E84">
      <w:start w:val="1"/>
      <w:numFmt w:val="bullet"/>
      <w:lvlText w:val="o"/>
      <w:lvlJc w:val="left"/>
      <w:pPr>
        <w:ind w:left="5760" w:hanging="360"/>
      </w:pPr>
      <w:rPr>
        <w:rFonts w:ascii="Courier New" w:hAnsi="Courier New" w:hint="default"/>
      </w:rPr>
    </w:lvl>
    <w:lvl w:ilvl="8" w:tplc="0480FB42">
      <w:start w:val="1"/>
      <w:numFmt w:val="bullet"/>
      <w:lvlText w:val=""/>
      <w:lvlJc w:val="left"/>
      <w:pPr>
        <w:ind w:left="6480" w:hanging="360"/>
      </w:pPr>
      <w:rPr>
        <w:rFonts w:ascii="Wingdings" w:hAnsi="Wingdings" w:hint="default"/>
      </w:rPr>
    </w:lvl>
  </w:abstractNum>
  <w:abstractNum w:abstractNumId="2" w15:restartNumberingAfterBreak="0">
    <w:nsid w:val="0FA30F76"/>
    <w:multiLevelType w:val="multilevel"/>
    <w:tmpl w:val="CB7A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C037D"/>
    <w:multiLevelType w:val="multilevel"/>
    <w:tmpl w:val="0EE0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F4D37"/>
    <w:multiLevelType w:val="multilevel"/>
    <w:tmpl w:val="ED2E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75409"/>
    <w:multiLevelType w:val="multilevel"/>
    <w:tmpl w:val="6F04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15E5D"/>
    <w:multiLevelType w:val="multilevel"/>
    <w:tmpl w:val="DDFA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59838"/>
    <w:multiLevelType w:val="hybridMultilevel"/>
    <w:tmpl w:val="77348CCE"/>
    <w:lvl w:ilvl="0" w:tplc="48764C22">
      <w:start w:val="1"/>
      <w:numFmt w:val="bullet"/>
      <w:lvlText w:val=""/>
      <w:lvlJc w:val="left"/>
      <w:pPr>
        <w:ind w:left="720" w:hanging="360"/>
      </w:pPr>
      <w:rPr>
        <w:rFonts w:ascii="Symbol" w:hAnsi="Symbol" w:hint="default"/>
      </w:rPr>
    </w:lvl>
    <w:lvl w:ilvl="1" w:tplc="2CEA953C">
      <w:start w:val="1"/>
      <w:numFmt w:val="bullet"/>
      <w:lvlText w:val="o"/>
      <w:lvlJc w:val="left"/>
      <w:pPr>
        <w:ind w:left="1440" w:hanging="360"/>
      </w:pPr>
      <w:rPr>
        <w:rFonts w:ascii="Courier New" w:hAnsi="Courier New" w:hint="default"/>
      </w:rPr>
    </w:lvl>
    <w:lvl w:ilvl="2" w:tplc="C5EA1428">
      <w:start w:val="1"/>
      <w:numFmt w:val="bullet"/>
      <w:lvlText w:val=""/>
      <w:lvlJc w:val="left"/>
      <w:pPr>
        <w:ind w:left="2160" w:hanging="360"/>
      </w:pPr>
      <w:rPr>
        <w:rFonts w:ascii="Wingdings" w:hAnsi="Wingdings" w:hint="default"/>
      </w:rPr>
    </w:lvl>
    <w:lvl w:ilvl="3" w:tplc="A00C63C2">
      <w:start w:val="1"/>
      <w:numFmt w:val="bullet"/>
      <w:lvlText w:val=""/>
      <w:lvlJc w:val="left"/>
      <w:pPr>
        <w:ind w:left="2880" w:hanging="360"/>
      </w:pPr>
      <w:rPr>
        <w:rFonts w:ascii="Symbol" w:hAnsi="Symbol" w:hint="default"/>
      </w:rPr>
    </w:lvl>
    <w:lvl w:ilvl="4" w:tplc="78EC91C8">
      <w:start w:val="1"/>
      <w:numFmt w:val="bullet"/>
      <w:lvlText w:val="o"/>
      <w:lvlJc w:val="left"/>
      <w:pPr>
        <w:ind w:left="3600" w:hanging="360"/>
      </w:pPr>
      <w:rPr>
        <w:rFonts w:ascii="Courier New" w:hAnsi="Courier New" w:hint="default"/>
      </w:rPr>
    </w:lvl>
    <w:lvl w:ilvl="5" w:tplc="4FE46946">
      <w:start w:val="1"/>
      <w:numFmt w:val="bullet"/>
      <w:lvlText w:val=""/>
      <w:lvlJc w:val="left"/>
      <w:pPr>
        <w:ind w:left="4320" w:hanging="360"/>
      </w:pPr>
      <w:rPr>
        <w:rFonts w:ascii="Wingdings" w:hAnsi="Wingdings" w:hint="default"/>
      </w:rPr>
    </w:lvl>
    <w:lvl w:ilvl="6" w:tplc="00A0483E">
      <w:start w:val="1"/>
      <w:numFmt w:val="bullet"/>
      <w:lvlText w:val=""/>
      <w:lvlJc w:val="left"/>
      <w:pPr>
        <w:ind w:left="5040" w:hanging="360"/>
      </w:pPr>
      <w:rPr>
        <w:rFonts w:ascii="Symbol" w:hAnsi="Symbol" w:hint="default"/>
      </w:rPr>
    </w:lvl>
    <w:lvl w:ilvl="7" w:tplc="E346ADA0">
      <w:start w:val="1"/>
      <w:numFmt w:val="bullet"/>
      <w:lvlText w:val="o"/>
      <w:lvlJc w:val="left"/>
      <w:pPr>
        <w:ind w:left="5760" w:hanging="360"/>
      </w:pPr>
      <w:rPr>
        <w:rFonts w:ascii="Courier New" w:hAnsi="Courier New" w:hint="default"/>
      </w:rPr>
    </w:lvl>
    <w:lvl w:ilvl="8" w:tplc="500C47A4">
      <w:start w:val="1"/>
      <w:numFmt w:val="bullet"/>
      <w:lvlText w:val=""/>
      <w:lvlJc w:val="left"/>
      <w:pPr>
        <w:ind w:left="6480" w:hanging="360"/>
      </w:pPr>
      <w:rPr>
        <w:rFonts w:ascii="Wingdings" w:hAnsi="Wingdings" w:hint="default"/>
      </w:rPr>
    </w:lvl>
  </w:abstractNum>
  <w:abstractNum w:abstractNumId="8" w15:restartNumberingAfterBreak="0">
    <w:nsid w:val="71BCF50B"/>
    <w:multiLevelType w:val="hybridMultilevel"/>
    <w:tmpl w:val="AC40A378"/>
    <w:lvl w:ilvl="0" w:tplc="A566EE10">
      <w:start w:val="1"/>
      <w:numFmt w:val="bullet"/>
      <w:lvlText w:val=""/>
      <w:lvlJc w:val="left"/>
      <w:pPr>
        <w:ind w:left="720" w:hanging="360"/>
      </w:pPr>
      <w:rPr>
        <w:rFonts w:ascii="Symbol" w:hAnsi="Symbol" w:hint="default"/>
      </w:rPr>
    </w:lvl>
    <w:lvl w:ilvl="1" w:tplc="6BD0898A">
      <w:start w:val="1"/>
      <w:numFmt w:val="bullet"/>
      <w:lvlText w:val="o"/>
      <w:lvlJc w:val="left"/>
      <w:pPr>
        <w:ind w:left="1440" w:hanging="360"/>
      </w:pPr>
      <w:rPr>
        <w:rFonts w:ascii="Courier New" w:hAnsi="Courier New" w:hint="default"/>
      </w:rPr>
    </w:lvl>
    <w:lvl w:ilvl="2" w:tplc="FB62959E">
      <w:start w:val="1"/>
      <w:numFmt w:val="bullet"/>
      <w:lvlText w:val=""/>
      <w:lvlJc w:val="left"/>
      <w:pPr>
        <w:ind w:left="2160" w:hanging="360"/>
      </w:pPr>
      <w:rPr>
        <w:rFonts w:ascii="Wingdings" w:hAnsi="Wingdings" w:hint="default"/>
      </w:rPr>
    </w:lvl>
    <w:lvl w:ilvl="3" w:tplc="7758F7D2">
      <w:start w:val="1"/>
      <w:numFmt w:val="bullet"/>
      <w:lvlText w:val=""/>
      <w:lvlJc w:val="left"/>
      <w:pPr>
        <w:ind w:left="2880" w:hanging="360"/>
      </w:pPr>
      <w:rPr>
        <w:rFonts w:ascii="Symbol" w:hAnsi="Symbol" w:hint="default"/>
      </w:rPr>
    </w:lvl>
    <w:lvl w:ilvl="4" w:tplc="F1F49DAC">
      <w:start w:val="1"/>
      <w:numFmt w:val="bullet"/>
      <w:lvlText w:val="o"/>
      <w:lvlJc w:val="left"/>
      <w:pPr>
        <w:ind w:left="3600" w:hanging="360"/>
      </w:pPr>
      <w:rPr>
        <w:rFonts w:ascii="Courier New" w:hAnsi="Courier New" w:hint="default"/>
      </w:rPr>
    </w:lvl>
    <w:lvl w:ilvl="5" w:tplc="7CA2EFDA">
      <w:start w:val="1"/>
      <w:numFmt w:val="bullet"/>
      <w:lvlText w:val=""/>
      <w:lvlJc w:val="left"/>
      <w:pPr>
        <w:ind w:left="4320" w:hanging="360"/>
      </w:pPr>
      <w:rPr>
        <w:rFonts w:ascii="Wingdings" w:hAnsi="Wingdings" w:hint="default"/>
      </w:rPr>
    </w:lvl>
    <w:lvl w:ilvl="6" w:tplc="2D9E5D0E">
      <w:start w:val="1"/>
      <w:numFmt w:val="bullet"/>
      <w:lvlText w:val=""/>
      <w:lvlJc w:val="left"/>
      <w:pPr>
        <w:ind w:left="5040" w:hanging="360"/>
      </w:pPr>
      <w:rPr>
        <w:rFonts w:ascii="Symbol" w:hAnsi="Symbol" w:hint="default"/>
      </w:rPr>
    </w:lvl>
    <w:lvl w:ilvl="7" w:tplc="4A04D966">
      <w:start w:val="1"/>
      <w:numFmt w:val="bullet"/>
      <w:lvlText w:val="o"/>
      <w:lvlJc w:val="left"/>
      <w:pPr>
        <w:ind w:left="5760" w:hanging="360"/>
      </w:pPr>
      <w:rPr>
        <w:rFonts w:ascii="Courier New" w:hAnsi="Courier New" w:hint="default"/>
      </w:rPr>
    </w:lvl>
    <w:lvl w:ilvl="8" w:tplc="AFB40D78">
      <w:start w:val="1"/>
      <w:numFmt w:val="bullet"/>
      <w:lvlText w:val=""/>
      <w:lvlJc w:val="left"/>
      <w:pPr>
        <w:ind w:left="6480" w:hanging="360"/>
      </w:pPr>
      <w:rPr>
        <w:rFonts w:ascii="Wingdings" w:hAnsi="Wingdings" w:hint="default"/>
      </w:rPr>
    </w:lvl>
  </w:abstractNum>
  <w:abstractNum w:abstractNumId="9" w15:restartNumberingAfterBreak="0">
    <w:nsid w:val="755FF58F"/>
    <w:multiLevelType w:val="hybridMultilevel"/>
    <w:tmpl w:val="37482482"/>
    <w:lvl w:ilvl="0" w:tplc="E3FE0D5E">
      <w:start w:val="1"/>
      <w:numFmt w:val="bullet"/>
      <w:lvlText w:val=""/>
      <w:lvlJc w:val="left"/>
      <w:pPr>
        <w:ind w:left="720" w:hanging="360"/>
      </w:pPr>
      <w:rPr>
        <w:rFonts w:ascii="Symbol" w:hAnsi="Symbol" w:hint="default"/>
      </w:rPr>
    </w:lvl>
    <w:lvl w:ilvl="1" w:tplc="41387E46">
      <w:start w:val="1"/>
      <w:numFmt w:val="bullet"/>
      <w:lvlText w:val="o"/>
      <w:lvlJc w:val="left"/>
      <w:pPr>
        <w:ind w:left="1440" w:hanging="360"/>
      </w:pPr>
      <w:rPr>
        <w:rFonts w:ascii="Courier New" w:hAnsi="Courier New" w:hint="default"/>
      </w:rPr>
    </w:lvl>
    <w:lvl w:ilvl="2" w:tplc="DBAE3106">
      <w:start w:val="1"/>
      <w:numFmt w:val="bullet"/>
      <w:lvlText w:val=""/>
      <w:lvlJc w:val="left"/>
      <w:pPr>
        <w:ind w:left="2160" w:hanging="360"/>
      </w:pPr>
      <w:rPr>
        <w:rFonts w:ascii="Wingdings" w:hAnsi="Wingdings" w:hint="default"/>
      </w:rPr>
    </w:lvl>
    <w:lvl w:ilvl="3" w:tplc="1E12D81C">
      <w:start w:val="1"/>
      <w:numFmt w:val="bullet"/>
      <w:lvlText w:val=""/>
      <w:lvlJc w:val="left"/>
      <w:pPr>
        <w:ind w:left="2880" w:hanging="360"/>
      </w:pPr>
      <w:rPr>
        <w:rFonts w:ascii="Symbol" w:hAnsi="Symbol" w:hint="default"/>
      </w:rPr>
    </w:lvl>
    <w:lvl w:ilvl="4" w:tplc="47CCB9C6">
      <w:start w:val="1"/>
      <w:numFmt w:val="bullet"/>
      <w:lvlText w:val="o"/>
      <w:lvlJc w:val="left"/>
      <w:pPr>
        <w:ind w:left="3600" w:hanging="360"/>
      </w:pPr>
      <w:rPr>
        <w:rFonts w:ascii="Courier New" w:hAnsi="Courier New" w:hint="default"/>
      </w:rPr>
    </w:lvl>
    <w:lvl w:ilvl="5" w:tplc="56D6A5A6">
      <w:start w:val="1"/>
      <w:numFmt w:val="bullet"/>
      <w:lvlText w:val=""/>
      <w:lvlJc w:val="left"/>
      <w:pPr>
        <w:ind w:left="4320" w:hanging="360"/>
      </w:pPr>
      <w:rPr>
        <w:rFonts w:ascii="Wingdings" w:hAnsi="Wingdings" w:hint="default"/>
      </w:rPr>
    </w:lvl>
    <w:lvl w:ilvl="6" w:tplc="5962739C">
      <w:start w:val="1"/>
      <w:numFmt w:val="bullet"/>
      <w:lvlText w:val=""/>
      <w:lvlJc w:val="left"/>
      <w:pPr>
        <w:ind w:left="5040" w:hanging="360"/>
      </w:pPr>
      <w:rPr>
        <w:rFonts w:ascii="Symbol" w:hAnsi="Symbol" w:hint="default"/>
      </w:rPr>
    </w:lvl>
    <w:lvl w:ilvl="7" w:tplc="8AF2D176">
      <w:start w:val="1"/>
      <w:numFmt w:val="bullet"/>
      <w:lvlText w:val="o"/>
      <w:lvlJc w:val="left"/>
      <w:pPr>
        <w:ind w:left="5760" w:hanging="360"/>
      </w:pPr>
      <w:rPr>
        <w:rFonts w:ascii="Courier New" w:hAnsi="Courier New" w:hint="default"/>
      </w:rPr>
    </w:lvl>
    <w:lvl w:ilvl="8" w:tplc="4B3A411C">
      <w:start w:val="1"/>
      <w:numFmt w:val="bullet"/>
      <w:lvlText w:val=""/>
      <w:lvlJc w:val="left"/>
      <w:pPr>
        <w:ind w:left="6480" w:hanging="360"/>
      </w:pPr>
      <w:rPr>
        <w:rFonts w:ascii="Wingdings" w:hAnsi="Wingdings" w:hint="default"/>
      </w:rPr>
    </w:lvl>
  </w:abstractNum>
  <w:abstractNum w:abstractNumId="10" w15:restartNumberingAfterBreak="0">
    <w:nsid w:val="779E93C2"/>
    <w:multiLevelType w:val="hybridMultilevel"/>
    <w:tmpl w:val="25CEB93A"/>
    <w:lvl w:ilvl="0" w:tplc="97D2D9B6">
      <w:start w:val="1"/>
      <w:numFmt w:val="bullet"/>
      <w:lvlText w:val=""/>
      <w:lvlJc w:val="left"/>
      <w:pPr>
        <w:ind w:left="720" w:hanging="360"/>
      </w:pPr>
      <w:rPr>
        <w:rFonts w:ascii="Symbol" w:hAnsi="Symbol" w:hint="default"/>
      </w:rPr>
    </w:lvl>
    <w:lvl w:ilvl="1" w:tplc="9C40CD20">
      <w:start w:val="1"/>
      <w:numFmt w:val="bullet"/>
      <w:lvlText w:val="o"/>
      <w:lvlJc w:val="left"/>
      <w:pPr>
        <w:ind w:left="1440" w:hanging="360"/>
      </w:pPr>
      <w:rPr>
        <w:rFonts w:ascii="Courier New" w:hAnsi="Courier New" w:hint="default"/>
      </w:rPr>
    </w:lvl>
    <w:lvl w:ilvl="2" w:tplc="EF4AB132">
      <w:start w:val="1"/>
      <w:numFmt w:val="bullet"/>
      <w:lvlText w:val=""/>
      <w:lvlJc w:val="left"/>
      <w:pPr>
        <w:ind w:left="2160" w:hanging="360"/>
      </w:pPr>
      <w:rPr>
        <w:rFonts w:ascii="Wingdings" w:hAnsi="Wingdings" w:hint="default"/>
      </w:rPr>
    </w:lvl>
    <w:lvl w:ilvl="3" w:tplc="4418ABD8">
      <w:start w:val="1"/>
      <w:numFmt w:val="bullet"/>
      <w:lvlText w:val=""/>
      <w:lvlJc w:val="left"/>
      <w:pPr>
        <w:ind w:left="2880" w:hanging="360"/>
      </w:pPr>
      <w:rPr>
        <w:rFonts w:ascii="Symbol" w:hAnsi="Symbol" w:hint="default"/>
      </w:rPr>
    </w:lvl>
    <w:lvl w:ilvl="4" w:tplc="28A47096">
      <w:start w:val="1"/>
      <w:numFmt w:val="bullet"/>
      <w:lvlText w:val="o"/>
      <w:lvlJc w:val="left"/>
      <w:pPr>
        <w:ind w:left="3600" w:hanging="360"/>
      </w:pPr>
      <w:rPr>
        <w:rFonts w:ascii="Courier New" w:hAnsi="Courier New" w:hint="default"/>
      </w:rPr>
    </w:lvl>
    <w:lvl w:ilvl="5" w:tplc="90C08E5E">
      <w:start w:val="1"/>
      <w:numFmt w:val="bullet"/>
      <w:lvlText w:val=""/>
      <w:lvlJc w:val="left"/>
      <w:pPr>
        <w:ind w:left="4320" w:hanging="360"/>
      </w:pPr>
      <w:rPr>
        <w:rFonts w:ascii="Wingdings" w:hAnsi="Wingdings" w:hint="default"/>
      </w:rPr>
    </w:lvl>
    <w:lvl w:ilvl="6" w:tplc="0EDA261E">
      <w:start w:val="1"/>
      <w:numFmt w:val="bullet"/>
      <w:lvlText w:val=""/>
      <w:lvlJc w:val="left"/>
      <w:pPr>
        <w:ind w:left="5040" w:hanging="360"/>
      </w:pPr>
      <w:rPr>
        <w:rFonts w:ascii="Symbol" w:hAnsi="Symbol" w:hint="default"/>
      </w:rPr>
    </w:lvl>
    <w:lvl w:ilvl="7" w:tplc="D78E1AC8">
      <w:start w:val="1"/>
      <w:numFmt w:val="bullet"/>
      <w:lvlText w:val="o"/>
      <w:lvlJc w:val="left"/>
      <w:pPr>
        <w:ind w:left="5760" w:hanging="360"/>
      </w:pPr>
      <w:rPr>
        <w:rFonts w:ascii="Courier New" w:hAnsi="Courier New" w:hint="default"/>
      </w:rPr>
    </w:lvl>
    <w:lvl w:ilvl="8" w:tplc="B316002A">
      <w:start w:val="1"/>
      <w:numFmt w:val="bullet"/>
      <w:lvlText w:val=""/>
      <w:lvlJc w:val="left"/>
      <w:pPr>
        <w:ind w:left="6480" w:hanging="360"/>
      </w:pPr>
      <w:rPr>
        <w:rFonts w:ascii="Wingdings" w:hAnsi="Wingdings" w:hint="default"/>
      </w:rPr>
    </w:lvl>
  </w:abstractNum>
  <w:num w:numId="1" w16cid:durableId="1597907446">
    <w:abstractNumId w:val="10"/>
  </w:num>
  <w:num w:numId="2" w16cid:durableId="678435568">
    <w:abstractNumId w:val="7"/>
  </w:num>
  <w:num w:numId="3" w16cid:durableId="305939003">
    <w:abstractNumId w:val="0"/>
  </w:num>
  <w:num w:numId="4" w16cid:durableId="252008842">
    <w:abstractNumId w:val="8"/>
  </w:num>
  <w:num w:numId="5" w16cid:durableId="935022079">
    <w:abstractNumId w:val="1"/>
  </w:num>
  <w:num w:numId="6" w16cid:durableId="151801019">
    <w:abstractNumId w:val="9"/>
  </w:num>
  <w:num w:numId="7" w16cid:durableId="1563708395">
    <w:abstractNumId w:val="5"/>
  </w:num>
  <w:num w:numId="8" w16cid:durableId="1141265876">
    <w:abstractNumId w:val="4"/>
  </w:num>
  <w:num w:numId="9" w16cid:durableId="571744484">
    <w:abstractNumId w:val="6"/>
  </w:num>
  <w:num w:numId="10" w16cid:durableId="1412653589">
    <w:abstractNumId w:val="2"/>
  </w:num>
  <w:num w:numId="11" w16cid:durableId="1465150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A9343F"/>
    <w:rsid w:val="000418F2"/>
    <w:rsid w:val="000C442B"/>
    <w:rsid w:val="000F22AB"/>
    <w:rsid w:val="00250CB6"/>
    <w:rsid w:val="002E46DF"/>
    <w:rsid w:val="003A48B9"/>
    <w:rsid w:val="003F5E5A"/>
    <w:rsid w:val="004108A8"/>
    <w:rsid w:val="005E4961"/>
    <w:rsid w:val="006C07B0"/>
    <w:rsid w:val="00914DCE"/>
    <w:rsid w:val="00986CAB"/>
    <w:rsid w:val="009D4847"/>
    <w:rsid w:val="00A13B7E"/>
    <w:rsid w:val="00A2412C"/>
    <w:rsid w:val="00AB0DF5"/>
    <w:rsid w:val="00B21583"/>
    <w:rsid w:val="00B419C9"/>
    <w:rsid w:val="00BF606A"/>
    <w:rsid w:val="00CB313B"/>
    <w:rsid w:val="00D158FA"/>
    <w:rsid w:val="00E040DD"/>
    <w:rsid w:val="00E80F55"/>
    <w:rsid w:val="00ED7536"/>
    <w:rsid w:val="00EF7063"/>
    <w:rsid w:val="00F01832"/>
    <w:rsid w:val="00F1062B"/>
    <w:rsid w:val="00F947D0"/>
    <w:rsid w:val="019BA9E2"/>
    <w:rsid w:val="022CD39E"/>
    <w:rsid w:val="037F9856"/>
    <w:rsid w:val="0441AEB8"/>
    <w:rsid w:val="05EE5CE9"/>
    <w:rsid w:val="074519EA"/>
    <w:rsid w:val="074B5FF8"/>
    <w:rsid w:val="09D67042"/>
    <w:rsid w:val="0CA88299"/>
    <w:rsid w:val="0D25AA18"/>
    <w:rsid w:val="0D50381F"/>
    <w:rsid w:val="0DB15B31"/>
    <w:rsid w:val="0DFAF9AE"/>
    <w:rsid w:val="0E20B217"/>
    <w:rsid w:val="0E586CD9"/>
    <w:rsid w:val="0F87DC63"/>
    <w:rsid w:val="11E7FDE0"/>
    <w:rsid w:val="13FE30E1"/>
    <w:rsid w:val="15A319CF"/>
    <w:rsid w:val="16197AD7"/>
    <w:rsid w:val="17C1959C"/>
    <w:rsid w:val="192E96CF"/>
    <w:rsid w:val="193544F8"/>
    <w:rsid w:val="19EEE159"/>
    <w:rsid w:val="1AEC6EB7"/>
    <w:rsid w:val="1C321811"/>
    <w:rsid w:val="1D888F68"/>
    <w:rsid w:val="1DE2C0C8"/>
    <w:rsid w:val="20D9E43C"/>
    <w:rsid w:val="20EBF088"/>
    <w:rsid w:val="20ED1D0A"/>
    <w:rsid w:val="22FB7705"/>
    <w:rsid w:val="27F4DA7A"/>
    <w:rsid w:val="2BB91D35"/>
    <w:rsid w:val="2C4F6849"/>
    <w:rsid w:val="2CFD0FF3"/>
    <w:rsid w:val="2D139ACA"/>
    <w:rsid w:val="2D7F7CD8"/>
    <w:rsid w:val="2E7F6B64"/>
    <w:rsid w:val="2EF918C6"/>
    <w:rsid w:val="325D1EDA"/>
    <w:rsid w:val="3374D3BF"/>
    <w:rsid w:val="340EEBF6"/>
    <w:rsid w:val="3618263E"/>
    <w:rsid w:val="36230B95"/>
    <w:rsid w:val="3A92EB9E"/>
    <w:rsid w:val="3BD1F05E"/>
    <w:rsid w:val="3C1D3B3B"/>
    <w:rsid w:val="3CC5E3E9"/>
    <w:rsid w:val="3E876CFC"/>
    <w:rsid w:val="3EC1761E"/>
    <w:rsid w:val="406E69E7"/>
    <w:rsid w:val="42A9343F"/>
    <w:rsid w:val="43353E83"/>
    <w:rsid w:val="44DAD90F"/>
    <w:rsid w:val="45451EA8"/>
    <w:rsid w:val="473B54BF"/>
    <w:rsid w:val="48C1A1F4"/>
    <w:rsid w:val="49526381"/>
    <w:rsid w:val="49DE88BB"/>
    <w:rsid w:val="4A1D2570"/>
    <w:rsid w:val="4C201B7E"/>
    <w:rsid w:val="4CED5335"/>
    <w:rsid w:val="4D23D385"/>
    <w:rsid w:val="4DBA5C4E"/>
    <w:rsid w:val="505BC488"/>
    <w:rsid w:val="51FB8CAB"/>
    <w:rsid w:val="55390A66"/>
    <w:rsid w:val="55A8925E"/>
    <w:rsid w:val="55C4AFE2"/>
    <w:rsid w:val="5767447D"/>
    <w:rsid w:val="57D0E3FB"/>
    <w:rsid w:val="593E5847"/>
    <w:rsid w:val="59A6544F"/>
    <w:rsid w:val="5B6534D5"/>
    <w:rsid w:val="5BF9B9D0"/>
    <w:rsid w:val="5CC9DA07"/>
    <w:rsid w:val="5FF029F4"/>
    <w:rsid w:val="625C89E4"/>
    <w:rsid w:val="6310A1F2"/>
    <w:rsid w:val="63D9E9A2"/>
    <w:rsid w:val="64A42EE5"/>
    <w:rsid w:val="654EC7A8"/>
    <w:rsid w:val="664382B4"/>
    <w:rsid w:val="66B67444"/>
    <w:rsid w:val="67A8906B"/>
    <w:rsid w:val="6873FE87"/>
    <w:rsid w:val="689CD6D0"/>
    <w:rsid w:val="6B086FDE"/>
    <w:rsid w:val="6C3B4EA9"/>
    <w:rsid w:val="6F9340FE"/>
    <w:rsid w:val="71B5DF75"/>
    <w:rsid w:val="721977B6"/>
    <w:rsid w:val="73233432"/>
    <w:rsid w:val="73763E95"/>
    <w:rsid w:val="73A8BF26"/>
    <w:rsid w:val="74BC756D"/>
    <w:rsid w:val="7577F564"/>
    <w:rsid w:val="78081ABC"/>
    <w:rsid w:val="78AB6061"/>
    <w:rsid w:val="79BD5D44"/>
    <w:rsid w:val="79DB64A6"/>
    <w:rsid w:val="7A23E672"/>
    <w:rsid w:val="7A57FC27"/>
    <w:rsid w:val="7B6BBBA8"/>
    <w:rsid w:val="7C15E4CC"/>
    <w:rsid w:val="7E46A123"/>
    <w:rsid w:val="7EB7B282"/>
    <w:rsid w:val="7F68CACF"/>
    <w:rsid w:val="7F6E92B8"/>
    <w:rsid w:val="7F88A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43F"/>
  <w15:chartTrackingRefBased/>
  <w15:docId w15:val="{EFA3D686-FA74-4744-8FBB-499E1420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6438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664382B4"/>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64382B4"/>
    <w:pPr>
      <w:ind w:left="720"/>
      <w:contextualSpacing/>
    </w:pPr>
  </w:style>
  <w:style w:type="paragraph" w:styleId="FootnoteText">
    <w:name w:val="footnote text"/>
    <w:basedOn w:val="Normal"/>
    <w:uiPriority w:val="99"/>
    <w:semiHidden/>
    <w:unhideWhenUsed/>
    <w:rsid w:val="55C4AFE2"/>
    <w:pPr>
      <w:spacing w:after="0" w:line="240" w:lineRule="auto"/>
    </w:pPr>
    <w:rPr>
      <w:sz w:val="20"/>
      <w:szCs w:val="20"/>
    </w:rPr>
  </w:style>
  <w:style w:type="character" w:styleId="Hyperlink">
    <w:name w:val="Hyperlink"/>
    <w:basedOn w:val="DefaultParagraphFont"/>
    <w:uiPriority w:val="99"/>
    <w:unhideWhenUsed/>
    <w:rsid w:val="55C4AFE2"/>
    <w:rPr>
      <w:color w:val="467886"/>
      <w:u w:val="single"/>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3A48B9"/>
    <w:pPr>
      <w:spacing w:after="0" w:line="240" w:lineRule="auto"/>
    </w:pPr>
  </w:style>
  <w:style w:type="character" w:styleId="CommentReference">
    <w:name w:val="annotation reference"/>
    <w:basedOn w:val="DefaultParagraphFont"/>
    <w:uiPriority w:val="99"/>
    <w:semiHidden/>
    <w:unhideWhenUsed/>
    <w:rsid w:val="003A48B9"/>
    <w:rPr>
      <w:sz w:val="16"/>
      <w:szCs w:val="16"/>
    </w:rPr>
  </w:style>
  <w:style w:type="paragraph" w:styleId="CommentText">
    <w:name w:val="annotation text"/>
    <w:basedOn w:val="Normal"/>
    <w:link w:val="CommentTextChar"/>
    <w:uiPriority w:val="99"/>
    <w:unhideWhenUsed/>
    <w:rsid w:val="003A48B9"/>
    <w:pPr>
      <w:spacing w:line="240" w:lineRule="auto"/>
    </w:pPr>
    <w:rPr>
      <w:sz w:val="20"/>
      <w:szCs w:val="20"/>
    </w:rPr>
  </w:style>
  <w:style w:type="character" w:customStyle="1" w:styleId="CommentTextChar">
    <w:name w:val="Comment Text Char"/>
    <w:basedOn w:val="DefaultParagraphFont"/>
    <w:link w:val="CommentText"/>
    <w:uiPriority w:val="99"/>
    <w:rsid w:val="003A48B9"/>
    <w:rPr>
      <w:sz w:val="20"/>
      <w:szCs w:val="20"/>
    </w:rPr>
  </w:style>
  <w:style w:type="paragraph" w:styleId="CommentSubject">
    <w:name w:val="annotation subject"/>
    <w:basedOn w:val="CommentText"/>
    <w:next w:val="CommentText"/>
    <w:link w:val="CommentSubjectChar"/>
    <w:uiPriority w:val="99"/>
    <w:semiHidden/>
    <w:unhideWhenUsed/>
    <w:rsid w:val="003A48B9"/>
    <w:rPr>
      <w:b/>
      <w:bCs/>
    </w:rPr>
  </w:style>
  <w:style w:type="character" w:customStyle="1" w:styleId="CommentSubjectChar">
    <w:name w:val="Comment Subject Char"/>
    <w:basedOn w:val="CommentTextChar"/>
    <w:link w:val="CommentSubject"/>
    <w:uiPriority w:val="99"/>
    <w:semiHidden/>
    <w:rsid w:val="003A48B9"/>
    <w:rPr>
      <w:b/>
      <w:bCs/>
      <w:sz w:val="20"/>
      <w:szCs w:val="20"/>
    </w:rPr>
  </w:style>
  <w:style w:type="paragraph" w:styleId="NormalWeb">
    <w:name w:val="Normal (Web)"/>
    <w:basedOn w:val="Normal"/>
    <w:uiPriority w:val="99"/>
    <w:semiHidden/>
    <w:unhideWhenUsed/>
    <w:rsid w:val="00EF70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basw.co.uk/training-cpd/professional-capabilities-framework-p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9FE18C0A8D74789CF79CD2B1F6D45" ma:contentTypeVersion="16" ma:contentTypeDescription="Create a new document." ma:contentTypeScope="" ma:versionID="0489f258126b7b0f3129d02913daf898">
  <xsd:schema xmlns:xsd="http://www.w3.org/2001/XMLSchema" xmlns:xs="http://www.w3.org/2001/XMLSchema" xmlns:p="http://schemas.microsoft.com/office/2006/metadata/properties" xmlns:ns2="10bb87f3-c026-4d25-a11a-f4947ec8869c" xmlns:ns3="349ed5c0-7d9d-4b34-9bbd-e070669ee0de" targetNamespace="http://schemas.microsoft.com/office/2006/metadata/properties" ma:root="true" ma:fieldsID="600af8d30e476eb00b628aa163f31540" ns2:_="" ns3:_="">
    <xsd:import namespace="10bb87f3-c026-4d25-a11a-f4947ec8869c"/>
    <xsd:import namespace="349ed5c0-7d9d-4b34-9bbd-e070669ee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87f3-c026-4d25-a11a-f4947ec88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f6f2c7-f84b-42a6-be1a-684c88b8a2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ed5c0-7d9d-4b34-9bbd-e070669ee0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f1e540-8c1b-4d36-9536-5f0773e9ab73}" ma:internalName="TaxCatchAll" ma:showField="CatchAllData" ma:web="349ed5c0-7d9d-4b34-9bbd-e070669ee0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bb87f3-c026-4d25-a11a-f4947ec8869c">
      <Terms xmlns="http://schemas.microsoft.com/office/infopath/2007/PartnerControls"/>
    </lcf76f155ced4ddcb4097134ff3c332f>
    <TaxCatchAll xmlns="349ed5c0-7d9d-4b34-9bbd-e070669ee0de" xsi:nil="true"/>
  </documentManagement>
</p:properties>
</file>

<file path=customXml/itemProps1.xml><?xml version="1.0" encoding="utf-8"?>
<ds:datastoreItem xmlns:ds="http://schemas.openxmlformats.org/officeDocument/2006/customXml" ds:itemID="{0FEFF8CF-7284-42B7-BB66-836CF5E58E8E}"/>
</file>

<file path=customXml/itemProps2.xml><?xml version="1.0" encoding="utf-8"?>
<ds:datastoreItem xmlns:ds="http://schemas.openxmlformats.org/officeDocument/2006/customXml" ds:itemID="{D6053336-35E9-4189-B5B1-1CD31E21F9A2}">
  <ds:schemaRefs>
    <ds:schemaRef ds:uri="http://schemas.microsoft.com/sharepoint/v3/contenttype/forms"/>
  </ds:schemaRefs>
</ds:datastoreItem>
</file>

<file path=customXml/itemProps3.xml><?xml version="1.0" encoding="utf-8"?>
<ds:datastoreItem xmlns:ds="http://schemas.openxmlformats.org/officeDocument/2006/customXml" ds:itemID="{AE3B6C9F-5F8A-4A46-94A1-9CC9F53ECB45}">
  <ds:schemaRefs>
    <ds:schemaRef ds:uri="http://schemas.openxmlformats.org/officeDocument/2006/bibliography"/>
  </ds:schemaRefs>
</ds:datastoreItem>
</file>

<file path=customXml/itemProps4.xml><?xml version="1.0" encoding="utf-8"?>
<ds:datastoreItem xmlns:ds="http://schemas.openxmlformats.org/officeDocument/2006/customXml" ds:itemID="{802B0F19-9364-4F71-ADD3-5FFB54C4E8EF}">
  <ds:schemaRefs>
    <ds:schemaRef ds:uri="http://schemas.microsoft.com/office/2006/metadata/properties"/>
    <ds:schemaRef ds:uri="http://schemas.microsoft.com/office/infopath/2007/PartnerControls"/>
    <ds:schemaRef ds:uri="10bb87f3-c026-4d25-a11a-f4947ec8869c"/>
    <ds:schemaRef ds:uri="349ed5c0-7d9d-4b34-9bbd-e070669ee0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2524</Words>
  <Characters>14389</Characters>
  <Application>Microsoft Office Word</Application>
  <DocSecurity>0</DocSecurity>
  <Lines>119</Lines>
  <Paragraphs>33</Paragraphs>
  <ScaleCrop>false</ScaleCrop>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Dixon</dc:creator>
  <cp:keywords/>
  <dc:description/>
  <cp:lastModifiedBy>Denise Monks</cp:lastModifiedBy>
  <cp:revision>19</cp:revision>
  <dcterms:created xsi:type="dcterms:W3CDTF">2025-11-03T11:38:00Z</dcterms:created>
  <dcterms:modified xsi:type="dcterms:W3CDTF">2025-11-19T17:37:00Z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0x010100EE99FE18C0A8D74789CF79CD2B1F6D45</vt:lpwstr>
  </property>
  <property fmtid="{D5CDD505-2E9C-101B-9397-08002B2CF9AE}" pid="3" name="MediaServiceImageTags">
    <vt:lpwstr/>
  </property>
</Properties>
</file>